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苏银理财恒源日申季持1号</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苏银理财恒源日申季持1号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2021年07月30日</w:t>
      </w:r>
      <w:r>
        <w:rPr>
          <w:rFonts w:hint="eastAsia" w:ascii="楷体" w:hAnsi="楷体" w:eastAsia="楷体" w:cs="楷体"/>
        </w:rPr>
        <w:t>成立，于</w:t>
      </w:r>
      <w:r>
        <w:rPr>
          <w:rFonts w:hint="eastAsia" w:ascii="楷体" w:hAnsi="楷体" w:eastAsia="楷体" w:cs="楷体"/>
          <w:spacing w:val="-7"/>
        </w:rPr>
        <w:t>2021年07月30日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苏银理财恒源日申季持1号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Z7003121000077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20,986,600,308.55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23,777,485,748.36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31000188000436462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24,088,682,837.32</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101.31%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苏银理财恒源日申季持1号Q滚续</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1.134451</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1.134451</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苏银理财恒源日申季持1号（北部湾银行专属）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1.132984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1.132984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苏银理财恒源日申季持1号（代发专享）滚续</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1.133272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1.133272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苏银理财恒源日申季持1号Z滚续</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1.134232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1.134232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苏银理财恒源日申季持1号（芙蓉锦程·优选）</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1.132769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1.132769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1.13105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1.13105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2.25%-3.05%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苏银理财恒源日申季持1号A滚续</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1.128164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1.128164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苏银理财恒源日申季持1号B滚续</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1.130361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1.130361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苏银理财恒源日申季持1号C滚续</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1.133208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1.133208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2.25%-3.05%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苏银理财恒源日申季持1号D滚续</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1.133988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1.133988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苏银理财恒源日申季持1号E滚续</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1.152323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1.152323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1.126369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1.126369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1.127466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1.127466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1.129678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1.129678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1.132335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1.132335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2.25%-3.05%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1.133269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1.133269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苏银理财恒源日申季持1号E</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1.151692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1.151692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2.35%-3.15%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61.21%</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37.94%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0.85%</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62.06%</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37.94%</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2,382,378,494.65</w:t>
            </w:r>
          </w:p>
        </w:tc>
        <w:tc>
          <w:tcPr>
            <w:tcW w:w="1800" w:type="dxa"/>
          </w:tcPr>
          <w:p>
            <w:pPr>
              <w:jc w:val="center"/>
              <w:rPr>
                <w:rFonts w:hint="eastAsia" w:ascii="楷体" w:hAnsi="楷体" w:eastAsia="楷体" w:cs="楷体"/>
                <w:sz w:val="22"/>
              </w:rPr>
            </w:pPr>
            <w:r>
              <w:rPr>
                <w:rFonts w:hint="eastAsia" w:ascii="楷体" w:hAnsi="楷体" w:eastAsia="楷体" w:cs="楷体"/>
                <w:sz w:val="22"/>
              </w:rPr>
              <w:t>9.83%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24建设银行CD284</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299,552,798.69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24徽商银行CD216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297,993,678.08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25南京银行CD103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295,639,041.37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工银泰享三年理财债券</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公募基金</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261,281,125.63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工商银行海州支行20（20230728）</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255,876,556.82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工商银行宜兴支行20（20230728）</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255,876,556.82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中国工商银行南京城南支行230308ZGCP181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221,986,145.09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中国工商银行杭州庆春支行230224ZGCP181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221,957,800.75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农业银行如皋市支行16（20230728）</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204,464,583.19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0.84%</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ZZGL202109150141</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江苏信托鼎泰3号集合资金信托计划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174,731,547.00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200,000,000.00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ZZGL202504091187</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江苏信托安源3号集合资金信托计划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499,477,048.00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802,210,809.00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980,000,000.00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东吴证券股份有限公司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399,820,080.32</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11,571,545.37</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2,802,536.34</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苏银理财有限责任公司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145,061,542.61</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31,300,000.00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541,472,536.72</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20,986,600,308.55</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24,877,333,400.58</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w:t>
      </w:r>
      <w:r>
        <w:rPr>
          <w:rFonts w:hint="eastAsia" w:ascii="楷体" w:hAnsi="楷体" w:cs="楷体"/>
          <w:lang w:eastAsia="zh-CN"/>
        </w:rPr>
        <w:t>、</w:t>
      </w:r>
      <w:r>
        <w:rPr>
          <w:rFonts w:hint="eastAsia" w:ascii="楷体" w:hAnsi="楷体" w:eastAsia="楷体" w:cs="楷体"/>
        </w:rPr>
        <w:t>投资运作情况</w:t>
      </w:r>
    </w:p>
    <w:p>
      <w:pPr>
        <w:rPr>
          <w:rFonts w:hint="eastAsia" w:ascii="楷体" w:hAnsi="楷体" w:eastAsia="楷体"/>
          <w:bCs/>
          <w:kern w:val="0"/>
          <w:sz w:val="21"/>
          <w:szCs w:val="21"/>
        </w:rPr>
      </w:pPr>
      <w:r>
        <w:rPr>
          <w:rFonts w:hint="eastAsia" w:ascii="楷体" w:hAnsi="楷体" w:eastAsia="楷体"/>
          <w:bCs/>
          <w:kern w:val="0"/>
          <w:sz w:val="21"/>
          <w:szCs w:val="21"/>
        </w:rPr>
        <w:t>1、运作期回顾</w:t>
      </w:r>
    </w:p>
    <w:p>
      <w:pPr>
        <w:ind w:firstLine="420" w:firstLineChars="200"/>
        <w:rPr>
          <w:rFonts w:hint="eastAsia" w:ascii="楷体" w:hAnsi="楷体" w:eastAsia="楷体"/>
          <w:bCs/>
          <w:kern w:val="0"/>
          <w:sz w:val="21"/>
          <w:szCs w:val="21"/>
          <w:lang w:val="en-US" w:eastAsia="zh-CN"/>
        </w:rPr>
      </w:pPr>
      <w:r>
        <w:rPr>
          <w:rFonts w:hint="eastAsia" w:ascii="楷体" w:hAnsi="楷体" w:eastAsia="楷体"/>
          <w:bCs/>
          <w:kern w:val="0"/>
          <w:sz w:val="21"/>
          <w:szCs w:val="21"/>
        </w:rPr>
        <w:t>2025年上半年债市呈高波动、重交易的特征，债券收益率曲线平坦化</w:t>
      </w:r>
      <w:r>
        <w:rPr>
          <w:rFonts w:hint="eastAsia" w:ascii="楷体" w:hAnsi="楷体" w:eastAsia="楷体"/>
          <w:bCs/>
          <w:kern w:val="0"/>
          <w:sz w:val="21"/>
          <w:szCs w:val="21"/>
          <w:lang w:eastAsia="zh-CN"/>
        </w:rPr>
        <w:t>。</w:t>
      </w:r>
      <w:r>
        <w:rPr>
          <w:rFonts w:hint="eastAsia" w:ascii="楷体" w:hAnsi="楷体" w:eastAsia="楷体"/>
          <w:bCs/>
          <w:kern w:val="0"/>
          <w:sz w:val="21"/>
          <w:szCs w:val="21"/>
        </w:rPr>
        <w:t>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w:t>
      </w:r>
      <w:r>
        <w:rPr>
          <w:rFonts w:hint="eastAsia" w:ascii="楷体" w:hAnsi="楷体" w:eastAsia="楷体"/>
          <w:bCs/>
          <w:kern w:val="0"/>
          <w:sz w:val="21"/>
          <w:szCs w:val="21"/>
          <w:lang w:val="en-US" w:eastAsia="zh-CN"/>
        </w:rPr>
        <w:t>。</w:t>
      </w:r>
    </w:p>
    <w:p>
      <w:pPr>
        <w:ind w:firstLine="420" w:firstLineChars="200"/>
        <w:rPr>
          <w:rFonts w:hint="eastAsia" w:ascii="楷体" w:hAnsi="楷体" w:eastAsia="楷体"/>
          <w:bCs/>
          <w:kern w:val="0"/>
          <w:sz w:val="21"/>
          <w:szCs w:val="21"/>
        </w:rPr>
      </w:pPr>
      <w:r>
        <w:rPr>
          <w:rFonts w:hint="eastAsia" w:ascii="楷体" w:hAnsi="楷体" w:eastAsia="楷体"/>
          <w:bCs/>
          <w:kern w:val="0"/>
          <w:sz w:val="21"/>
          <w:szCs w:val="21"/>
          <w:lang w:val="en-US" w:eastAsia="zh-CN"/>
        </w:rPr>
        <w:t>日申季持</w:t>
      </w:r>
      <w:r>
        <w:rPr>
          <w:rFonts w:hint="eastAsia" w:ascii="楷体" w:hAnsi="楷体" w:eastAsia="楷体"/>
          <w:bCs/>
          <w:kern w:val="0"/>
          <w:sz w:val="21"/>
          <w:szCs w:val="21"/>
        </w:rPr>
        <w:t>坚持稳健的投资策略，通过对国内外宏观经济态势、利率走势、收益率曲线变化趋势和信用风险变化等因素进行综合分析，坚持以票息策略打底，有较多静态收益较高、波动较低的资产，同时通过择时交易进行增厚，为客户提供长期稳健收益。</w:t>
      </w:r>
    </w:p>
    <w:p>
      <w:pPr>
        <w:rPr>
          <w:rFonts w:hint="eastAsia" w:ascii="楷体" w:hAnsi="楷体" w:eastAsia="楷体"/>
          <w:bCs/>
          <w:kern w:val="0"/>
          <w:sz w:val="21"/>
          <w:szCs w:val="21"/>
        </w:rPr>
      </w:pPr>
    </w:p>
    <w:p>
      <w:pPr>
        <w:rPr>
          <w:rFonts w:hint="eastAsia" w:ascii="楷体" w:hAnsi="楷体" w:eastAsia="楷体"/>
          <w:bCs/>
          <w:kern w:val="0"/>
          <w:sz w:val="21"/>
          <w:szCs w:val="21"/>
        </w:rPr>
      </w:pPr>
      <w:r>
        <w:rPr>
          <w:rFonts w:hint="eastAsia" w:ascii="楷体" w:hAnsi="楷体" w:eastAsia="楷体"/>
          <w:bCs/>
          <w:kern w:val="0"/>
          <w:sz w:val="21"/>
          <w:szCs w:val="21"/>
        </w:rPr>
        <w:t>2、后市展望及下阶段投资策略</w:t>
      </w:r>
    </w:p>
    <w:p>
      <w:pPr>
        <w:ind w:firstLine="420" w:firstLineChars="200"/>
        <w:rPr>
          <w:rFonts w:hint="eastAsia" w:ascii="楷体" w:hAnsi="楷体" w:eastAsia="楷体"/>
          <w:bCs/>
          <w:kern w:val="0"/>
          <w:sz w:val="21"/>
          <w:szCs w:val="21"/>
        </w:rPr>
      </w:pPr>
      <w:r>
        <w:rPr>
          <w:rFonts w:hint="eastAsia" w:ascii="楷体" w:hAnsi="楷体" w:eastAsia="楷体"/>
          <w:bCs/>
          <w:kern w:val="0"/>
          <w:sz w:val="21"/>
          <w:szCs w:val="21"/>
          <w:lang w:val="en-US" w:eastAsia="zh-CN"/>
        </w:rPr>
        <w:t>基本面来看，</w:t>
      </w:r>
      <w:r>
        <w:rPr>
          <w:rFonts w:hint="eastAsia" w:ascii="楷体" w:hAnsi="楷体" w:eastAsia="楷体"/>
          <w:bCs/>
          <w:kern w:val="0"/>
          <w:sz w:val="21"/>
          <w:szCs w:val="21"/>
        </w:rPr>
        <w:t>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w:t>
      </w:r>
    </w:p>
    <w:p>
      <w:pPr>
        <w:ind w:firstLine="420" w:firstLineChars="200"/>
        <w:rPr>
          <w:rFonts w:hint="eastAsia" w:ascii="楷体" w:hAnsi="楷体" w:eastAsia="楷体"/>
          <w:bCs/>
          <w:kern w:val="0"/>
          <w:sz w:val="21"/>
          <w:szCs w:val="21"/>
        </w:rPr>
      </w:pPr>
      <w:r>
        <w:rPr>
          <w:rFonts w:hint="eastAsia" w:ascii="楷体" w:hAnsi="楷体" w:eastAsia="楷体"/>
          <w:bCs/>
          <w:kern w:val="0"/>
          <w:sz w:val="21"/>
          <w:szCs w:val="21"/>
        </w:rPr>
        <w:t>展望下</w:t>
      </w:r>
      <w:r>
        <w:rPr>
          <w:rFonts w:hint="eastAsia" w:ascii="楷体" w:hAnsi="楷体" w:eastAsia="楷体"/>
          <w:bCs/>
          <w:kern w:val="0"/>
          <w:sz w:val="21"/>
          <w:szCs w:val="21"/>
          <w:lang w:val="en-US" w:eastAsia="zh-CN"/>
        </w:rPr>
        <w:t>阶段</w:t>
      </w:r>
      <w:r>
        <w:rPr>
          <w:rFonts w:hint="eastAsia" w:ascii="楷体" w:hAnsi="楷体" w:eastAsia="楷体"/>
          <w:bCs/>
          <w:kern w:val="0"/>
          <w:sz w:val="21"/>
          <w:szCs w:val="21"/>
        </w:rPr>
        <w:t>，在面临宏观环境不确定性增强的大环境下，货币政策将保持适度宽松，利率大幅上行的风险相对较低。同时，也需要密切关注与跟踪海外的不确定性以及全球的地缘政治风险。</w:t>
      </w:r>
    </w:p>
    <w:p>
      <w:pPr>
        <w:ind w:firstLine="420" w:firstLineChars="200"/>
        <w:rPr>
          <w:rFonts w:hint="eastAsia" w:ascii="楷体" w:hAnsi="楷体" w:eastAsia="楷体"/>
          <w:bCs/>
          <w:kern w:val="0"/>
          <w:sz w:val="21"/>
          <w:szCs w:val="21"/>
        </w:rPr>
      </w:pPr>
    </w:p>
    <w:p>
      <w:pPr>
        <w:rPr>
          <w:rFonts w:hint="eastAsia" w:ascii="楷体" w:hAnsi="楷体" w:eastAsia="楷体"/>
          <w:bCs/>
          <w:kern w:val="0"/>
          <w:sz w:val="21"/>
          <w:szCs w:val="21"/>
        </w:rPr>
      </w:pPr>
      <w:r>
        <w:rPr>
          <w:rFonts w:hint="eastAsia" w:ascii="楷体" w:hAnsi="楷体" w:eastAsia="楷体"/>
          <w:bCs/>
          <w:kern w:val="0"/>
          <w:sz w:val="21"/>
          <w:szCs w:val="21"/>
          <w:lang w:val="en-US" w:eastAsia="zh-CN"/>
        </w:rPr>
        <w:t>3、</w:t>
      </w:r>
      <w:r>
        <w:rPr>
          <w:rFonts w:hint="eastAsia" w:ascii="楷体" w:hAnsi="楷体" w:eastAsia="楷体"/>
          <w:bCs/>
          <w:kern w:val="0"/>
          <w:sz w:val="21"/>
          <w:szCs w:val="21"/>
        </w:rPr>
        <w:t>流动性风险分析</w:t>
      </w:r>
    </w:p>
    <w:p>
      <w:pPr>
        <w:ind w:firstLine="420" w:firstLineChars="200"/>
        <w:rPr>
          <w:rFonts w:hint="eastAsia" w:ascii="楷体" w:hAnsi="楷体" w:eastAsia="楷体"/>
          <w:bCs/>
          <w:kern w:val="0"/>
          <w:sz w:val="21"/>
          <w:szCs w:val="21"/>
        </w:rPr>
      </w:pPr>
      <w:r>
        <w:rPr>
          <w:rFonts w:hint="eastAsia" w:ascii="楷体" w:hAnsi="楷体" w:eastAsia="楷体"/>
          <w:bCs/>
          <w:kern w:val="0"/>
          <w:sz w:val="21"/>
          <w:szCs w:val="21"/>
        </w:rPr>
        <w:t>本产品在资产配置上以存款类资产以及优质标准化债权类资产为主，变现能力较强，并通过资产久期管理、流动性指标监控等多项措施，维持流动性处于合理充裕水平，确保本产品资产的变现能力与投资者赎回需求相匹配。</w:t>
      </w:r>
    </w:p>
    <w:p>
      <w:pPr>
        <w:pStyle w:val="4"/>
        <w:spacing w:before="0" w:line="240" w:lineRule="auto"/>
        <w:ind w:left="0" w:right="0" w:firstLine="0" w:firstLineChars="0"/>
        <w:rPr>
          <w:rFonts w:hint="eastAsia" w:ascii="楷体" w:hAnsi="楷体" w:eastAsia="楷体" w:cs="楷体"/>
          <w:spacing w:val="9"/>
          <w:sz w:val="21"/>
        </w:rPr>
      </w:pPr>
    </w:p>
    <w:p>
      <w:pPr>
        <w:pStyle w:val="2"/>
        <w:rPr>
          <w:rFonts w:ascii="楷体" w:hAnsi="楷体"/>
          <w:sz w:val="24"/>
          <w:szCs w:val="24"/>
        </w:rPr>
      </w:pPr>
      <w:bookmarkStart w:id="1" w:name="_GoBack"/>
      <w:bookmarkEnd w:id="1"/>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B654F3"/>
    <w:multiLevelType w:val="singleLevel"/>
    <w:tmpl w:val="25B654F3"/>
    <w:lvl w:ilvl="0" w:tentative="0">
      <w:start w:val="3"/>
      <w:numFmt w:val="chineseCounting"/>
      <w:suff w:val="nothing"/>
      <w:lvlText w:val="（%1）"/>
      <w:lvlJc w:val="left"/>
      <w:rPr>
        <w:rFonts w:hint="eastAsia"/>
      </w:rPr>
    </w:lvl>
  </w:abstractNum>
  <w:abstractNum w:abstractNumId="1">
    <w:nsid w:val="72183CF9"/>
    <w:multiLevelType w:val="singleLevel"/>
    <w:tmpl w:val="72183CF9"/>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18FC227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Office_10.8.2.7119_F1E327BC-269C-435d-A152-05C5408002CA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2025-08-01T01:50:06Z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0511d9-06f0-4a52-b5c2-75d1e1fa14bb}">
  <ds:schemaRefs/>
</ds:datastoreItem>
</file>

<file path=customXml/itemProps3.xml><?xml version="1.0" encoding="utf-8"?>
<ds:datastoreItem xmlns:ds="http://schemas.openxmlformats.org/officeDocument/2006/customXml" ds:itemID="{936f494a-fd4d-4f69-9eec-af85a04a25ae}">
  <ds:schemaRefs/>
</ds:datastoreItem>
</file>

<file path=customXml/itemProps4.xml><?xml version="1.0" encoding="utf-8"?>
<ds:datastoreItem xmlns:ds="http://schemas.openxmlformats.org/officeDocument/2006/customXml" ds:itemID="{50d77bc1-dc30-4512-94fe-cfefee12dd23}">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2025-08-25T06:43:41Z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309DFC3B33514993837EB97B178AABD1</vt:lpwstr>
  </property>
</Properties>
</file>