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苏银理财恒源1年定开2009期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苏银理财恒源1年定开2009期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2020年11月18日</w:t>
      </w:r>
      <w:r>
        <w:rPr>
          <w:rFonts w:hint="eastAsia" w:ascii="楷体" w:hAnsi="楷体" w:eastAsia="楷体" w:cs="楷体"/>
        </w:rPr>
        <w:t>成立，于</w:t>
      </w:r>
      <w:r>
        <w:rPr>
          <w:rFonts w:hint="eastAsia" w:ascii="楷体" w:hAnsi="楷体" w:eastAsia="楷体" w:cs="楷体"/>
          <w:spacing w:val="-7"/>
        </w:rPr>
        <w:t>2020年11月18日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苏银理财恒源1年定开2009期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2,482,791,089.06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2,523,340,360.12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31000188000396188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2,803,829,889.71</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111.12%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苏银理财恒源1年定开2009期A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1.016177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1.182211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1.017026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1.055004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1.016183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1.052607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1.016741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1.054205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1.016173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1.052597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1.016182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1.052606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1.016346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1.096213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1.016459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1.097777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24.26%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1.61%</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25.87%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74.13%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上海信托-武进太湖湾</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270,446,071.69</w:t>
            </w:r>
          </w:p>
        </w:tc>
        <w:tc>
          <w:tcPr>
            <w:tcW w:w="1800" w:type="dxa"/>
          </w:tcPr>
          <w:p>
            <w:pPr>
              <w:jc w:val="center"/>
              <w:rPr>
                <w:rFonts w:hint="eastAsia" w:ascii="楷体" w:hAnsi="楷体" w:eastAsia="楷体" w:cs="楷体"/>
                <w:sz w:val="22"/>
              </w:rPr>
            </w:pPr>
            <w:r>
              <w:rPr>
                <w:rFonts w:hint="eastAsia" w:ascii="楷体" w:hAnsi="楷体" w:eastAsia="楷体" w:cs="楷体"/>
                <w:sz w:val="22"/>
              </w:rPr>
              <w:t>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中粮信托-栗泽1号-京东金条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247,449,607.67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杭工商信托-玖盈121号-宁波前湾-第二期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230,244,583.43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201,107,945.27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重庆信托-融源4号-金坛建设-1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120,198,142.67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23崇川02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103,891,894.52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24漳九02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102,398,105.48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95,708,052.54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富国中债7-10年政策性金融债ETF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80,285,158.80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24东部01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61,736,346.58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2.13%</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江苏武进太湖湾旅游发展有限公司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上海信托-武进太湖湾</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182</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270,000,000.00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中粮信托-栗泽1号-京东金条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247,000,000.00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宁波前湾控股集团有限公司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杭工商信托-玖盈121号-宁波前湾-第二期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江苏金坛建设集团有限公司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重庆信托-融源4号-金坛建设-1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江苏武进太湖湾旅游发展有限公司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2003-10-09</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1,195,000,000.00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旅游资源开发、经营；土地整理、开发；利用自有资金对文化产业项目、城市建设项目进行投资（不得从事金融、类金融业务，依法需取得许可和备案的除外）；文化活动策划；文化旅游产品开发；农业休闲观光；农业综合开发；房地产物业、游览景区、公共设施、园林绿化、公园的管理服务；工艺礼品销售；为城市建设和基础设施建设项目服务。（依法须经批准的项目，经相关部门批准后方可开展经营活动）一般项目：体验式拓展活动及策划；旅游开发项目策划咨询；信息咨询服务（不含许可类信息咨询服务）；组织文化艺术交流活动；技术服务、技术开发、技术咨询、技术交流、技术转让、技术推广；人力资源服务（不含职业中介活动、劳务派遣服务）；科技推广和应用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江苏金坛建设集团有限公司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2002-09-03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宁波前湾控股集团有限公司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hint="eastAsia" w:ascii="楷体" w:hAnsi="楷体" w:eastAsia="楷体" w:cs="楷体"/>
                <w:b w:val="0"/>
                <w:i w:val="0"/>
                <w:strike w:val="0"/>
                <w:color w:val="auto"/>
                <w:position w:val="-1"/>
                <w:sz w:val="22"/>
                <w:u w:val="none"/>
              </w:rPr>
              <w:t>2012-05-28</w:t>
            </w:r>
            <w:bookmarkStart w:id="1" w:name="_GoBack"/>
            <w:bookmarkEnd w:id="1"/>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控股公司服务；以自有资金从事投资活动；股权投资；市政设施管理；物业管理；非居住房地产租赁(除依法须经批准的项目外，凭营业执照依法自主开展经营活动)。许可项目：房地产开发经营(依法须经批准的项目，经相关部门批准后方可开展经营活动，具体经营项目以审批结果为准)。</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29,685,261.00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1,049,850.76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249,264.07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2,482,791,089.06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2,482,791,089.06</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楷体"/>
          <w:b w:val="0"/>
          <w:spacing w:val="0"/>
          <w:sz w:val="21"/>
          <w:szCs w:val="21"/>
        </w:rPr>
      </w:pPr>
      <w:r>
        <w:rPr>
          <w:rFonts w:hint="eastAsia" w:ascii="楷体" w:hAnsi="楷体" w:eastAsia="楷体" w:cs="楷体"/>
          <w:b w:val="0"/>
          <w:spacing w:val="0"/>
          <w:sz w:val="21"/>
          <w:szCs w:val="21"/>
        </w:rPr>
        <w:t>1、运作期回顾</w:t>
      </w:r>
    </w:p>
    <w:p>
      <w:pPr>
        <w:pStyle w:val="4"/>
        <w:spacing w:before="0" w:line="240" w:lineRule="auto"/>
        <w:ind w:left="0" w:right="0" w:firstLine="0" w:firstLineChars="0"/>
        <w:rPr>
          <w:rFonts w:hint="eastAsia" w:ascii="楷体" w:hAnsi="楷体" w:eastAsia="楷体" w:cs="楷体"/>
          <w:spacing w:val="0"/>
          <w:sz w:val="21"/>
          <w:szCs w:val="21"/>
        </w:rPr>
      </w:pPr>
      <w:r>
        <w:rPr>
          <w:rFonts w:hint="eastAsia" w:ascii="楷体" w:hAnsi="楷体" w:eastAsia="楷体" w:cs="楷体"/>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4"/>
        <w:spacing w:before="0" w:line="240" w:lineRule="auto"/>
        <w:ind w:left="0" w:right="0" w:firstLine="0" w:firstLineChars="0"/>
        <w:rPr>
          <w:rFonts w:hint="eastAsia" w:ascii="楷体" w:hAnsi="楷体" w:eastAsia="楷体" w:cs="楷体"/>
          <w:spacing w:val="0"/>
          <w:sz w:val="21"/>
          <w:szCs w:val="21"/>
        </w:rPr>
      </w:pPr>
    </w:p>
    <w:p>
      <w:pPr>
        <w:pStyle w:val="2"/>
        <w:rPr>
          <w:rFonts w:hint="eastAsia" w:ascii="楷体" w:hAnsi="楷体" w:eastAsia="楷体" w:cs="楷体"/>
          <w:b w:val="0"/>
          <w:spacing w:val="0"/>
          <w:sz w:val="21"/>
          <w:szCs w:val="21"/>
        </w:rPr>
      </w:pPr>
      <w:r>
        <w:rPr>
          <w:rFonts w:hint="eastAsia" w:ascii="楷体" w:hAnsi="楷体" w:eastAsia="楷体" w:cs="楷体"/>
          <w:b w:val="0"/>
          <w:spacing w:val="0"/>
          <w:sz w:val="21"/>
          <w:szCs w:val="21"/>
        </w:rPr>
        <w:t>2、后市展望及下阶段投资策略</w:t>
      </w:r>
    </w:p>
    <w:p>
      <w:pPr>
        <w:pStyle w:val="4"/>
        <w:spacing w:before="0" w:line="240" w:lineRule="auto"/>
        <w:ind w:left="0" w:right="0" w:firstLine="0" w:firstLineChars="0"/>
        <w:jc w:val="left"/>
        <w:rPr>
          <w:rFonts w:hint="eastAsia" w:ascii="楷体" w:hAnsi="楷体" w:eastAsia="楷体" w:cs="楷体"/>
          <w:spacing w:val="0"/>
          <w:sz w:val="21"/>
          <w:szCs w:val="21"/>
        </w:rPr>
      </w:pPr>
      <w:r>
        <w:rPr>
          <w:rFonts w:hint="eastAsia" w:ascii="楷体" w:hAnsi="楷体" w:eastAsia="楷体" w:cs="楷体"/>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hint="eastAsia" w:ascii="楷体" w:hAnsi="楷体" w:eastAsia="楷体" w:cs="楷体"/>
          <w:spacing w:val="0"/>
          <w:sz w:val="21"/>
          <w:szCs w:val="21"/>
        </w:rPr>
        <w:br w:type="textWrapping"/>
      </w:r>
      <w:r>
        <w:rPr>
          <w:rFonts w:hint="eastAsia" w:ascii="楷体" w:hAnsi="楷体" w:eastAsia="楷体" w:cs="楷体"/>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hint="eastAsia" w:ascii="楷体" w:hAnsi="楷体" w:eastAsia="楷体" w:cs="楷体"/>
          <w:bCs/>
          <w:spacing w:val="0"/>
          <w:kern w:val="0"/>
          <w:sz w:val="21"/>
          <w:szCs w:val="21"/>
        </w:rPr>
      </w:pPr>
    </w:p>
    <w:p>
      <w:pPr>
        <w:pStyle w:val="2"/>
        <w:rPr>
          <w:rFonts w:hint="eastAsia" w:ascii="楷体" w:hAnsi="楷体" w:eastAsia="楷体" w:cs="楷体"/>
          <w:b w:val="0"/>
          <w:spacing w:val="0"/>
          <w:sz w:val="21"/>
          <w:szCs w:val="21"/>
        </w:rPr>
      </w:pPr>
      <w:r>
        <w:rPr>
          <w:rFonts w:hint="eastAsia" w:ascii="楷体" w:hAnsi="楷体" w:eastAsia="楷体" w:cs="楷体"/>
          <w:b w:val="0"/>
          <w:spacing w:val="0"/>
          <w:sz w:val="21"/>
          <w:szCs w:val="21"/>
        </w:rPr>
        <w:t>3、流动性风险分析</w:t>
      </w:r>
    </w:p>
    <w:p>
      <w:pPr>
        <w:pStyle w:val="4"/>
        <w:spacing w:before="0" w:line="240" w:lineRule="auto"/>
        <w:ind w:left="0" w:right="0" w:firstLine="0" w:firstLineChars="0"/>
        <w:rPr>
          <w:rFonts w:hint="eastAsia" w:ascii="楷体" w:hAnsi="楷体" w:eastAsia="楷体" w:cs="楷体"/>
          <w:spacing w:val="0"/>
          <w:sz w:val="21"/>
          <w:szCs w:val="21"/>
        </w:rPr>
      </w:pPr>
      <w:r>
        <w:rPr>
          <w:rFonts w:hint="eastAsia" w:ascii="楷体" w:hAnsi="楷体" w:eastAsia="楷体" w:cs="楷体"/>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C9188"/>
    <w:multiLevelType w:val="singleLevel"/>
    <w:tmpl w:val="227C9188"/>
    <w:lvl w:ilvl="0" w:tentative="0">
      <w:start w:val="3"/>
      <w:numFmt w:val="decimal"/>
      <w:suff w:val="nothing"/>
      <w:lvlText w:val="%1）"/>
      <w:lvlJc w:val="left"/>
    </w:lvl>
  </w:abstractNum>
  <w:abstractNum w:abstractNumId="1">
    <w:nsid w:val="4FB438A5"/>
    <w:multiLevelType w:val="singleLevel"/>
    <w:tmpl w:val="4FB438A5"/>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92A42D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012aff-6f14-4f6d-b644-a412da0a5128}">
  <ds:schemaRefs/>
</ds:datastoreItem>
</file>

<file path=customXml/itemProps3.xml><?xml version="1.0" encoding="utf-8"?>
<ds:datastoreItem xmlns:ds="http://schemas.openxmlformats.org/officeDocument/2006/customXml" ds:itemID="{c0745545-3970-4911-acc4-71654c2ae090}">
  <ds:schemaRefs/>
</ds:datastoreItem>
</file>

<file path=customXml/itemProps4.xml><?xml version="1.0" encoding="utf-8"?>
<ds:datastoreItem xmlns:ds="http://schemas.openxmlformats.org/officeDocument/2006/customXml" ds:itemID="{0ee3724b-e531-4120-989e-7bb1fb36b57d}">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2025-08-25T11:19:23Z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79DB01DBD8C9456BAE89F33CD12ADA94</vt:lpwstr>
  </property>
</Properties>
</file>