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苏银理财恒源1年定开35期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2025年半年度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苏银理财恒源1年定开35期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2022年12月13日</w:t>
      </w:r>
      <w:r>
        <w:rPr>
          <w:rFonts w:ascii="楷体" w:eastAsia="楷体" w:hAnsi="楷体" w:cs="楷体" w:hint="eastAsia"/>
        </w:rPr>
        <w:t xml:space="preserve">成立，于</w:t>
      </w:r>
      <w:r>
        <w:rPr>
          <w:rFonts w:ascii="楷体" w:eastAsia="楷体" w:hAnsi="楷体" w:cs="楷体" w:hint="eastAsia"/>
          <w:spacing w:val="-7"/>
        </w:rPr>
        <w:t xml:space="preserve">2022年12月13日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苏银理财恒源1年定开35期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Z7003122000142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2,515,138,220.50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2,553,301,165.45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31000188000509825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2,685,250,195.44</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105.17%</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苏银理财恒源1年定开35期ZS（自动赎回）</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1.015527</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1.015527</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苏银理财恒源1年定开35期A</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1.014999</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1.094708</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苏银理财恒源1年定开35期B</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1.015152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1.096105</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2.73%-3.33%</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苏银理财恒源1年定开35期G</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1.015257</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1.097659</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苏银理财恒源1年定开35期D</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1.015786</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1.054187</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2.85%-3.45%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苏银理财恒源1年定开35期F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1.015001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1.051762</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苏银理财恒源1年定开35期J</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1.015521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1.053408</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苏银理财恒源1年定开35期ZA（自动赎回）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1.014992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1.051753</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苏银理财恒源1年定开35期ZF（自动赎回）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1.014998</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1.051759</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2.70%-3.30%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19.93%</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77.80%</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2.27%</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22.20%</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77.80%</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天津信托-向实32号-蚂蚁花呗-第一期</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非标准化债权类资产</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221,218,739.60</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7.86%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杭工商信托-玖盈129号-绍兴镜湖-第二期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200,300,998.57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7.11%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陆家嘴信托-苏睿34号-高淳经开-1期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190,287,796.65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6.76%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中粮信托-栗泽2号-京东白条取现</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190,184,950.68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6.76%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中粮信托-谷丰117号-蚂蚁花呗-第三期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187,601,404.11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6.66%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123,251,612.06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4.38%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陆家嘴信托-苏睿24号-镇江文广</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110,243,030.64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3.92%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24江水01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102,841,454.79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3.65%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外贸信托-智润3号-滨湖资产-1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94,149,564.03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3.34%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大成深证基准做市信用债ETF</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公募基金</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91,126,800.00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3.24%</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天津信托-向实32号-蚂蚁花呗-第一期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172</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220,000,000.00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绍兴市镜湖开发集团有限公司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杭工商信托-玖盈129号-绍兴镜湖-第二期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中粮信托-栗泽2号-京东白条取现</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江苏高淳经济开发区开发集团有限公司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陆家嘴信托-苏睿34号-高淳经开-1期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中粮信托-谷丰117号-蚂蚁花呗-第三期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185,000,000.00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镇江文化广电产业集团有限公司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陆家嘴信托-苏睿24号-镇江文广</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无锡市滨湖国有资产运营(集团)有限公司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外贸信托-智润3号-滨湖资产-1</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94,000,000.00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盐城市盐都区国有资产控股集团有限公司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中诚信托-苏诚10号-盐都国控</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盐城市国有资产投资集团有限公司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重庆信托-融源3号-第三期-盐城国投</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绍兴市镜湖开发集团有限公司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杭工商信托-玖盈145号-绍兴镜湖</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徐州市新沂经济技术开发有限责任公司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陆家嘴信托-稳新-苏睿32号集合资金信托计划（新沂经开）第一期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绍兴市镜湖开发集团有限公司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2003-01-15</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300,000,000.00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房地产开发; 实业投资; 土地开发服务; 市政基础设施建设; 园林绿化工程施工; 物业管理; 房屋租赁; 制作、代理、发布：国内各类广告（除网络广告）。(依法须经批准的项目，经相关部门批准后方可开展经营活动）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江苏高淳经济开发区开发集团有限公司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1992-08-05</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450,000,000.00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土地开发、经营，招商引进项目，农业资源综合开发，建筑安装，建材销售，物业管理；基础设施建设；绿化工程施工；提供劳务服务；道路养护；污水处理工程施工；公共设施配套管理。（依法须经批准的项目，经相关部门批准后方可开展经营活动）一般项目：非居住房地产租赁；住房租赁；土地使用权租赁；办公设备租赁服务（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徐州市新沂经济技术开发有限责任公司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1996-05-27</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一般项目：技术服务、技术开发、技术咨询、技术交流、技术转让、技术推广；建筑材料销售；市政设施管理；环境保护专用设备销售；园林绿化工程施工；树木种植经营（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盐城市国有资产投资集团有限公司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2006-12-30</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2,200,000,000.00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实业投资，风险投资，旅游酒店管理，政府授权的其他资产管理业务，房屋租赁，物业管理，市场营销策划，信息咨询服务，会展服务，建材销售，房地产开发经营。（以上所有项目国家有专项审批规定的除外）（依法须经批准的项目，经相关部门批准后方可开展经营活动）许可项目：道路旅客运输经营；餐饮服务；食品经营；食品互联网销售；洗浴服务；高危险性体育运动（游泳）；营业性演出；住宿服务（依法须经批准的项目，经相关部门批准后方可开展经营活动，具体经营项目以审批结果为准）一般项目：汽车租赁；票务代理服务；停车场服务；打字复印；专业保洁、清洗、消毒服务；花卉绿植租借与代管理；外卖递送服务；礼仪服务；摄影扩印服务；非居住房地产租赁；租赁服务（不含出版物出租）；服装服饰零售；鞋帽零售；玩具销售；日用品销售；化妆品零售；礼品花卉销售；棋牌室服务；健身休闲活动；游乐园服务；旅行社服务网点旅游招徕、咨询服务；洗染服务；企业管理（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无锡市滨湖国有资产运营(集团)有限公司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2005-08-11</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建设工程施工；建设工程设计；住宅室内装饰装修（依法须经批准的项目，经相关部门批准后方可开展经营活动，具体经营项目以审批结果为准）一般项目：以自有资金从事投资活动；自有资金投资的资产管理服务；物业管理；非居住房地产租赁；工程技术服务（规划管理、勘察、设计、监理除外）；水污染治理；水资源管理；工程管理服务；市政设施管理；城市绿化管理；社会经济咨询服务；日用杂品销售；金属材料销售；金属制品销售；建筑材料销售；五金产品零售；机械设备销售；机械零件、零部件加工；商业综合体管理服务；旅游开发项目策划咨询；大数据服务；停车场服务（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盐城市盐都区国有资产控股集团有限公司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2021-12-28</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房地产开发经营（依法须经批准的项目，经相关部门批准后方可开展经营活动，具体经营项目以审批结果为准）一般项目：以自有资金从事投资活动；土地整治服务；房屋拆迁服务；市政设施管理；物业管理；酒店管理；租赁服务（不含许可类租赁服务）；城市绿化管理；会议及展览服务；公共事业管理服务；企业总部管理（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镇江文化广电产业集团有限公司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2010-06-22</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700,000,000.00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文化产业的投资；提供广播电视和网络信息资讯技术和开发；设计、制作、发布路牌、灯箱广告；开展文化传播、文化交流；文化活动的组织策划；企业形象设计策划、影视、文化艺术交流策划咨询、服务；展览会布置策划、指导服务；文化人才培训；经济信息咨询服务；开展文化交流服务；工艺礼品、黄金白银金属制品、金属材料的销售；广播电视技术研究；网络技术、信息技术研发和服务；软件信息技术服务、文化技术服务、信息系统集成服务、咨询服务；文化创意服务；古玩鉴证的咨询服务；新能源汽车充电设施建设运营。（依法须经批准的项目，经相关部门批准后方可开展经营活动）许可项目：互联网信息服务；基础电信业务；第一类增值电信业务；第二类增值电信业务；在线数据处理与交易处理业务（经营类电子商务）（依法须经批准的项目，经相关部门批准后方可开展经营活动，具体经营项目以审批结果为准）</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21,774,913.00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22,000,000.00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16,419,472.00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1,028,175.48</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251,077.25</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2,515,138,220.50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2,515,468,220.50</w:t>
            </w:r>
          </w:p>
        </w:tc>
      </w:tr>
    </w:tbl>
    <w:p>
      <w:pPr>
        <w:pStyle w:val="标题4"/>
        <w:rPr>
          <w:rFonts w:ascii="楷体" w:eastAsia="楷体" w:hAnsi="楷体" w:cs="楷体" w:hint="eastAsia"/>
        </w:rPr>
      </w:pPr>
    </w:p>
    <w:p>
      <w:pPr>
        <w:pStyle w:val="Heading3"/>
        <w:rPr>
          <w:rFonts w:ascii="楷体" w:eastAsia="楷体" w:hAnsi="楷体" w:cs="楷体" w:hint="eastAsia"/>
          <w:spacing w:val="0"/>
        </w:rPr>
      </w:pPr>
      <w:bookmarkStart w:id="1" w:name="_GoBack"/>
      <w:r>
        <w:rPr>
          <w:rFonts w:ascii="楷体" w:eastAsia="楷体" w:hAnsi="楷体" w:cs="楷体" w:hint="eastAsia"/>
          <w:spacing w:val="0"/>
        </w:rPr>
        <w:t xml:space="preserve">四</w:t>
      </w:r>
      <w:r>
        <w:rPr>
          <w:rFonts w:ascii="楷体" w:hAnsi="楷体" w:cs="楷体" w:hint="eastAsia"/>
          <w:spacing w:val="0"/>
          <w:lang w:eastAsia="zh-CN"/>
        </w:rPr>
        <w:t xml:space="preserve">、</w:t>
      </w:r>
      <w:r>
        <w:rPr>
          <w:rFonts w:ascii="楷体" w:eastAsia="楷体" w:hAnsi="楷体" w:cs="楷体" w:hint="eastAsia"/>
          <w:spacing w:val="0"/>
        </w:rPr>
        <w:t xml:space="preserve">投资运作情况</w:t>
      </w: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1、运作期回顾</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上半年债券市场整体呈震荡下行趋势，产品整体表现较为稳健，后续有望继续提供长期稳健收益。</w:t>
      </w:r>
    </w:p>
    <w:p>
      <w:pPr>
        <w:pStyle w:val="BodyText"/>
        <w:spacing w:before="0" w:line="240" w:lineRule="auto"/>
        <w:ind w:left="0" w:right="0" w:firstLine="0" w:firstLineChars="0"/>
        <w:rPr>
          <w:rFonts w:ascii="楷体" w:eastAsia="楷体" w:hAnsi="楷体" w:cs="楷体" w:hint="eastAsia"/>
          <w:spacing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2、后市展望及下阶段投资策略</w:t>
      </w:r>
    </w:p>
    <w:p>
      <w:pPr>
        <w:pStyle w:val="BodyText"/>
        <w:spacing w:before="0" w:line="240" w:lineRule="auto"/>
        <w:ind w:left="0" w:right="0" w:firstLine="0" w:firstLineChars="0"/>
        <w:jc w:val="left"/>
        <w:rPr>
          <w:rFonts w:ascii="楷体" w:eastAsia="楷体" w:hAnsi="楷体" w:cs="楷体" w:hint="eastAsia"/>
          <w:spacing w:val="0"/>
          <w:sz w:val="21"/>
          <w:szCs w:val="21"/>
        </w:rPr>
      </w:pPr>
      <w:r>
        <w:rPr>
          <w:rFonts w:ascii="楷体" w:eastAsia="楷体" w:hAnsi="楷体" w:cs="楷体" w:hint="eastAsia"/>
          <w:spacing w:val="0"/>
          <w:sz w:val="21"/>
          <w:szCs w:val="21"/>
        </w:rPr>
        <w:t xml:space="preserve">    基本面方面，上半年我国经济顶住压力实现较高增长，GDP同比增速录得5.3%，其中一、二季度GDP分别增长5.4%、5.2%。上半年我国社零额累计实现5%的增长，较一季度增加1.5个百分点，且高于去年全年水平，消费整体仍延续改善的趋势。新动能持续形成高贡献，外需相关行业生产边际修复，但与内需挂钩的上游工业生产仍然偏弱。债市方面，2025年上半年债市呈高波动、重交易的特征，债券收益率曲线平坦化。债市收益率先上后下。年初十年国债收益率围绕1.6%左右震荡。2月以来，央行流动性紧缩叠加股市快速上涨等因素，十年期国债收益率快速上升至1.88%左右。二季度在中美贸易摩擦和央行降准降息的背景下，国债收益率快速下行至1.65%左右，随后维持震荡态势直到季末。展望下半年，在股市强势上涨及风险偏好上升的背景下，债市预计延续震荡格局。但从近期国内基本面数据来看，三季度以来的内部变化弱于预期，需求修复转弱，下半年降准降息等政策仍有较大的可能性。后续若股市进入登顶回落期，风险偏好反转，债市或走向修复。</w:t>
      </w:r>
      <w:r>
        <w:rPr>
          <w:rFonts w:ascii="楷体" w:eastAsia="楷体" w:hAnsi="楷体" w:cs="楷体" w:hint="eastAsia"/>
          <w:spacing w:val="0"/>
          <w:sz w:val="21"/>
          <w:szCs w:val="21"/>
        </w:rPr>
        <w:br/>
      </w:r>
      <w:r>
        <w:rPr>
          <w:rFonts w:ascii="楷体" w:eastAsia="楷体" w:hAnsi="楷体" w:cs="楷体" w:hint="eastAsia"/>
          <w:spacing w:val="0"/>
          <w:sz w:val="21"/>
          <w:szCs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0" w:firstLineChars="0"/>
        <w:rPr>
          <w:rFonts w:ascii="楷体" w:eastAsia="楷体" w:hAnsi="楷体" w:cs="楷体" w:hint="eastAsia"/>
          <w:bCs/>
          <w:spacing w:val="0"/>
          <w:kern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3、流动性风险分析</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本产品持仓优质非标资产与中高等级债券，抗市场波动能力较强，通过组合久期管理、流动性指标监测等多项措施持续加强久期与流动性管理，有效控制产品的流动性风险。</w:t>
      </w:r>
      <w:bookmarkEnd w:id="1"/>
    </w:p>
    <w:p>
      <w:pPr>
        <w:pStyle w:val="BodyText"/>
        <w:spacing w:before="0" w:line="240" w:lineRule="auto"/>
        <w:ind w:left="0" w:right="0" w:firstLine="0" w:firstLineChars="0"/>
        <w:rPr>
          <w:rFonts w:ascii="楷体" w:eastAsia="楷体" w:hAnsi="楷体" w:cs="楷体" w:hint="eastAsia"/>
          <w:spacing w:val="9"/>
          <w:sz w:val="21"/>
        </w:rPr>
      </w:pPr>
    </w:p>
    <w:p>
      <w:pPr>
        <w:pStyle w:val="Heading3"/>
        <w:rPr>
          <w:rFonts w:ascii="楷体" w:hAnsi="楷体"/>
          <w:sz w:val="24"/>
          <w:szCs w:val="24"/>
        </w:rPr>
      </w:pPr>
      <w:r>
        <w:rPr>
          <w:rFonts w:ascii="楷体" w:hAnsi="楷体" w:hint="eastAsia"/>
          <w:sz w:val="24"/>
          <w:szCs w:val="24"/>
        </w:rPr>
        <w:t xml:space="preserve">五</w:t>
      </w:r>
      <w:r>
        <w:rPr>
          <w:rFonts w:ascii="楷体" w:hAnsi="楷体" w:hint="eastAsia"/>
          <w:sz w:val="24"/>
          <w:szCs w:val="24"/>
          <w:lang w:eastAsia="zh-CN"/>
        </w:rPr>
        <w:t xml:space="preserve">、</w:t>
      </w:r>
      <w:r>
        <w:rPr>
          <w:rFonts w:ascii="楷体" w:hAnsi="楷体" w:hint="eastAsia"/>
          <w:sz w:val="24"/>
          <w:szCs w:val="24"/>
        </w:rPr>
        <w:t xml:space="preserve">托管人报告</w:t>
      </w:r>
    </w:p>
    <w:p>
      <w:pPr>
        <w:ind w:firstLine="420" w:firstLineChars="200"/>
        <w:jc w:val="left"/>
        <w:rPr>
          <w:rFonts w:ascii="楷体" w:eastAsia="楷体" w:hAnsi="楷体" w:cs="楷体" w:hint="eastAsia"/>
          <w:spacing w:val="9"/>
          <w:sz w:val="21"/>
          <w:szCs w:val="21"/>
        </w:rPr>
      </w:pPr>
      <w:r>
        <w:rPr>
          <w:rFonts w:ascii="楷体" w:eastAsia="楷体" w:hAnsi="楷体" w:hint="eastAsia"/>
          <w:bCs/>
          <w:kern w:val="0"/>
          <w:sz w:val="21"/>
          <w:szCs w:val="21"/>
        </w:rPr>
        <w:t xml:space="preserve">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3168"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3170"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3171"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3173"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4</TotalTime>
  <Pages>4</Pages>
  <Words>419</Words>
  <Characters>2389</Characters>
  <Application>WPS Office_11.8.2.10321_F1E327BC-269C-435d-A152-05C5408002CA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jsyh</cp:lastModifiedBy>
  <cp:revision>22</cp:revision>
  <dcterms:created xsi:type="dcterms:W3CDTF">2021-11-18T10:04:00Z</dcterms:created>
  <dcterms:modified xsi:type="dcterms:W3CDTF">2025-08-22T10:19:39Z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2052-11.8.2.10321</vt:lpstr>
  </property>
  <property fmtid="{D5CDD505-2E9C-101B-9397-08002B2CF9AE}" pid="3" name="ICV">
    <vt:lpstr>31802637FF8E4298AD1DCE61A946E12D</vt:lpstr>
  </property>
</Properties>
</file>