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苏银理财启源现金2号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苏银理财启源现金2号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2023年02月16日</w:t>
      </w:r>
      <w:r>
        <w:rPr>
          <w:rFonts w:hint="eastAsia" w:ascii="楷体" w:hAnsi="楷体" w:eastAsia="楷体" w:cs="楷体"/>
        </w:rPr>
        <w:t>成立，于</w:t>
      </w:r>
      <w:r>
        <w:rPr>
          <w:rFonts w:hint="eastAsia" w:ascii="楷体" w:hAnsi="楷体" w:eastAsia="楷体" w:cs="楷体"/>
          <w:spacing w:val="-7"/>
        </w:rPr>
        <w:t>2023年02月16日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Z7003122000162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7,523,098,347.13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7,523,098,347.13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31000188000514924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7,644,010,183.95</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101.61%</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85"/>
        <w:gridCol w:w="1500"/>
        <w:gridCol w:w="1665"/>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2085"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500"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665"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861"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ascii="楷体" w:hAnsi="楷体" w:eastAsia="楷体" w:cs="楷体"/>
                <w:sz w:val="22"/>
              </w:rPr>
            </w:pPr>
            <w:r>
              <w:rPr>
                <w:rFonts w:hint="eastAsia" w:ascii="楷体" w:hAnsi="楷体" w:eastAsia="楷体" w:cs="楷体"/>
                <w:sz w:val="22"/>
              </w:rPr>
              <w:t>2025-06-30</w:t>
            </w:r>
          </w:p>
        </w:tc>
        <w:tc>
          <w:tcPr>
            <w:tcW w:w="2085" w:type="dxa"/>
          </w:tcPr>
          <w:p>
            <w:pPr>
              <w:jc w:val="center"/>
              <w:rPr>
                <w:rFonts w:ascii="楷体" w:hAnsi="楷体" w:eastAsia="楷体" w:cs="楷体"/>
                <w:sz w:val="22"/>
              </w:rPr>
            </w:pPr>
            <w:r>
              <w:rPr>
                <w:rFonts w:hint="eastAsia" w:ascii="楷体" w:hAnsi="楷体" w:eastAsia="楷体" w:cs="楷体"/>
                <w:sz w:val="22"/>
              </w:rPr>
              <w:t>苏银理财启源现金2号DG</w:t>
            </w:r>
          </w:p>
        </w:tc>
        <w:tc>
          <w:tcPr>
            <w:tcW w:w="1500" w:type="dxa"/>
          </w:tcPr>
          <w:p>
            <w:pPr>
              <w:jc w:val="center"/>
              <w:rPr>
                <w:rFonts w:ascii="楷体" w:hAnsi="楷体" w:eastAsia="楷体" w:cs="楷体"/>
                <w:sz w:val="22"/>
              </w:rPr>
            </w:pPr>
            <w:r>
              <w:rPr>
                <w:rFonts w:hint="eastAsia" w:ascii="楷体" w:hAnsi="楷体" w:eastAsia="楷体" w:cs="楷体"/>
                <w:sz w:val="22"/>
              </w:rPr>
              <w:t>0.4975</w:t>
            </w:r>
          </w:p>
        </w:tc>
        <w:tc>
          <w:tcPr>
            <w:tcW w:w="1665" w:type="dxa"/>
          </w:tcPr>
          <w:p>
            <w:pPr>
              <w:jc w:val="center"/>
              <w:rPr>
                <w:rFonts w:ascii="楷体" w:hAnsi="楷体" w:eastAsia="楷体" w:cs="楷体"/>
                <w:sz w:val="22"/>
              </w:rPr>
            </w:pPr>
            <w:r>
              <w:rPr>
                <w:rFonts w:hint="eastAsia" w:ascii="楷体" w:hAnsi="楷体" w:eastAsia="楷体" w:cs="楷体"/>
                <w:sz w:val="22"/>
              </w:rPr>
              <w:t>1.83%</w:t>
            </w:r>
          </w:p>
        </w:tc>
        <w:tc>
          <w:tcPr>
            <w:tcW w:w="1861" w:type="dxa"/>
          </w:tcPr>
          <w:p>
            <w:pPr>
              <w:jc w:val="center"/>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苏银理财启源现金2号JS鑫福款</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0.8433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3.13%</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苏银理财启源现金2号K</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0.5084</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苏银理财启源现金2号N</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0.5084</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苏银理财启源现金2号S</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0.5085</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苏银理财启源现金2号X</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0.5084</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苏银理财启源现金2号A</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0.5084</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苏银理财启源现金2号B</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0.5084</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苏银理财启源现金2号W</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0.4262</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1.48%</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苏银理财启源现金2号Q</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0.9416</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3.50%</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苏银理财启源现金2号P</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0.5111</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1.80%</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苏银理财启源现金2号DG2</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0.4993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1.84%</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62.42%</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37.58%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62.42%</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37.58%</w:t>
            </w:r>
          </w:p>
        </w:tc>
      </w:tr>
    </w:tbl>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1275"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2235" w:type="dxa"/>
            <w:vAlign w:val="center"/>
          </w:tcPr>
          <w:p>
            <w:pPr>
              <w:jc w:val="center"/>
              <w:rPr>
                <w:rFonts w:ascii="楷体" w:hAnsi="楷体" w:eastAsia="楷体" w:cs="楷体"/>
                <w:sz w:val="22"/>
              </w:rPr>
            </w:pPr>
            <w:r>
              <w:rPr>
                <w:rFonts w:hint="eastAsia" w:ascii="楷体" w:hAnsi="楷体" w:eastAsia="楷体" w:cs="楷体"/>
                <w:sz w:val="22"/>
              </w:rPr>
              <w:t>655,208,998.85</w:t>
            </w:r>
          </w:p>
        </w:tc>
        <w:tc>
          <w:tcPr>
            <w:tcW w:w="1800" w:type="dxa"/>
            <w:vAlign w:val="center"/>
          </w:tcPr>
          <w:p>
            <w:pPr>
              <w:jc w:val="center"/>
              <w:rPr>
                <w:rFonts w:ascii="楷体" w:hAnsi="楷体" w:eastAsia="楷体" w:cs="楷体"/>
                <w:sz w:val="22"/>
              </w:rPr>
            </w:pPr>
            <w:r>
              <w:rPr>
                <w:rFonts w:hint="eastAsia" w:ascii="楷体" w:hAnsi="楷体" w:eastAsia="楷体" w:cs="楷体"/>
                <w:sz w:val="22"/>
              </w:rPr>
              <w:t>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24浦发银行CD297</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198,097,394.34</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25农业银行CD067</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197,338,099.62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23农发清发12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152,878,942.35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24农发清发02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151,442,475.69</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110,113,978.12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101,042,210.92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hint="eastAsia" w:ascii="楷体" w:hAnsi="楷体" w:eastAsia="楷体" w:cs="楷体"/>
                <w:sz w:val="22"/>
              </w:rPr>
              <w:t>银行存款</w:t>
            </w:r>
            <w:r>
              <w:rPr>
                <w:rFonts w:ascii="楷体" w:hAnsi="楷体" w:eastAsia="楷体" w:cs="楷体"/>
                <w:b w:val="0"/>
                <w:i w:val="0"/>
                <w:strike w:val="0"/>
                <w:color w:val="auto"/>
                <w:position w:val="-1"/>
                <w:sz w:val="22"/>
                <w:u w:val="none"/>
              </w:rPr>
              <w:t>20241226</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100,935,000.00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hint="eastAsia" w:ascii="楷体" w:hAnsi="楷体" w:eastAsia="楷体" w:cs="楷体"/>
                <w:sz w:val="22"/>
              </w:rPr>
              <w:t>银行存款</w:t>
            </w:r>
            <w:r>
              <w:rPr>
                <w:rFonts w:ascii="楷体" w:hAnsi="楷体" w:eastAsia="楷体" w:cs="楷体"/>
                <w:b w:val="0"/>
                <w:i w:val="0"/>
                <w:strike w:val="0"/>
                <w:color w:val="auto"/>
                <w:position w:val="-1"/>
                <w:sz w:val="22"/>
                <w:u w:val="none"/>
              </w:rPr>
              <w:t>20250401</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100,500,500.00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100,057,335.27</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1.30%</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rPr>
          <w:rFonts w:hint="eastAsia" w:ascii="楷体" w:hAnsi="楷体" w:eastAsia="楷体"/>
        </w:rPr>
      </w:pPr>
    </w:p>
    <w:p>
      <w:pPr>
        <w:rPr>
          <w:rFonts w:ascii="楷体" w:hAnsi="楷体" w:eastAsia="楷体"/>
          <w:sz w:val="21"/>
          <w:szCs w:val="21"/>
        </w:rPr>
      </w:pPr>
      <w:r>
        <w:rPr>
          <w:rFonts w:hint="eastAsia" w:ascii="楷体" w:hAnsi="楷体" w:eastAsia="楷体"/>
          <w:sz w:val="21"/>
          <w:szCs w:val="21"/>
        </w:rPr>
        <w:t>（四）期末理财产品前十名投资者持有情况</w:t>
      </w:r>
    </w:p>
    <w:tbl>
      <w:tblPr>
        <w:tblStyle w:val="10"/>
        <w:tblW w:w="8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815"/>
        <w:gridCol w:w="3510"/>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序号</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投资者类别</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期末持有份额</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份额占比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1</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机构</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64,956,574.44</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28,612,147.80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26,022,940.48</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20,022,091.09</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18,774,421.54</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18,183,896.44</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18,096,166.59</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17,229,959.07</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0.23%</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w:t>
      </w:r>
      <w:r>
        <w:rPr>
          <w:rFonts w:hint="eastAsia" w:ascii="楷体" w:hAnsi="楷体" w:cs="楷体"/>
          <w:b w:val="0"/>
          <w:sz w:val="21"/>
          <w:lang w:eastAsia="zh-CN"/>
        </w:rPr>
        <w:t>五</w:t>
      </w:r>
      <w:r>
        <w:rPr>
          <w:rFonts w:hint="eastAsia" w:ascii="楷体" w:hAnsi="楷体" w:cs="楷体"/>
          <w:b w:val="0"/>
          <w:sz w:val="21"/>
        </w:rPr>
        <w:t>）关联交易情况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00"/>
        <w:gridCol w:w="2191"/>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0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15"/>
        <w:gridCol w:w="2176"/>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15"/>
        <w:gridCol w:w="3540"/>
        <w:gridCol w:w="3166"/>
      </w:tblGrid>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31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4,021,295,285.25</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108,496,486.44</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2,741,302.81</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695,440.88</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501,000,000.00</w:t>
            </w:r>
          </w:p>
        </w:tc>
      </w:tr>
    </w:tbl>
    <w:p>
      <w:pPr>
        <w:pStyle w:val="14"/>
        <w:rPr>
          <w:rFonts w:hint="eastAsia"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hint="eastAsia" w:ascii="楷体" w:hAnsi="楷体" w:cs="楷体"/>
          <w:sz w:val="21"/>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六</w:t>
      </w:r>
      <w:r>
        <w:rPr>
          <w:rFonts w:hint="eastAsia" w:ascii="楷体" w:hAnsi="楷体" w:eastAsia="楷体" w:cs="楷体"/>
          <w:sz w:val="22"/>
          <w:szCs w:val="24"/>
        </w:rPr>
        <w:t>）自有资金投资情况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七</w:t>
      </w:r>
      <w:r>
        <w:rPr>
          <w:rFonts w:hint="eastAsia" w:ascii="楷体" w:hAnsi="楷体" w:eastAsia="楷体" w:cs="楷体"/>
          <w:sz w:val="22"/>
          <w:szCs w:val="24"/>
        </w:rPr>
        <w:t>）理财产品份额变动情况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7,523,098,347.13</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7,268,717,438.23</w:t>
            </w:r>
          </w:p>
        </w:tc>
      </w:tr>
    </w:tbl>
    <w:p>
      <w:pPr>
        <w:pStyle w:val="2"/>
        <w:ind w:left="0" w:leftChars="0" w:firstLine="0" w:firstLineChars="0"/>
        <w:rPr>
          <w:rFonts w:ascii="楷体" w:hAnsi="楷体" w:cs="楷体"/>
        </w:rPr>
      </w:pPr>
    </w:p>
    <w:p>
      <w:pPr>
        <w:pStyle w:val="2"/>
        <w:rPr>
          <w:rFonts w:ascii="楷体" w:hAnsi="楷体" w:cs="楷体"/>
        </w:rPr>
      </w:pPr>
      <w:r>
        <w:rPr>
          <w:rFonts w:hint="eastAsia" w:ascii="楷体" w:hAnsi="楷体" w:cs="楷体"/>
        </w:rPr>
        <w:t>四</w:t>
      </w:r>
      <w:r>
        <w:rPr>
          <w:rFonts w:hint="eastAsia" w:ascii="楷体" w:hAnsi="楷体" w:cs="楷体"/>
          <w:lang w:eastAsia="zh-CN"/>
        </w:rPr>
        <w:t>、</w:t>
      </w:r>
      <w:r>
        <w:rPr>
          <w:rFonts w:hint="eastAsia" w:ascii="楷体" w:hAnsi="楷体" w:cs="楷体"/>
        </w:rPr>
        <w:t>投资运作情况</w:t>
      </w:r>
    </w:p>
    <w:p>
      <w:pPr>
        <w:pStyle w:val="2"/>
        <w:rPr>
          <w:rFonts w:ascii="楷体" w:hAnsi="楷体" w:cs="楷体"/>
          <w:b w:val="0"/>
          <w:sz w:val="21"/>
        </w:rPr>
      </w:pPr>
      <w:r>
        <w:rPr>
          <w:rFonts w:hint="eastAsia" w:ascii="楷体" w:hAnsi="楷体" w:cs="楷体"/>
          <w:b w:val="0"/>
          <w:sz w:val="21"/>
        </w:rPr>
        <w:t>1、运作期回顾</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2025年上半年，在党中央的坚强领导下，面对外部冲击明显加大，国内经济顶住压力平稳增长，各地区各部门深入贯彻党中央、国务院的决策部署，坚持稳中求进，宏观稳经济政策协同发力，国民经济稳中向好。</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从经济基本面看，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债券市场方面，一季度债市收益率明显上行。年初至春节，债市收益率呈现先下后上的态势，年初部分踏空资金入场，随后央行暂停国债买入等操作使得市场情绪转向谨慎，同时央行利用月中MLF到期、税期、春节前取现需求增加资金缺口放大的窗口引导资金收紧，短端出现明显调整压力，10年期收益率明显上行；春节后至3月中旬，同业存款外流影响持续，同时Deepseek、人形机器人等概念在春节后形成主题热点，叠加两会定调偏积极，权益市场迎来上涨行情，收益率调整由短及长并触发赎回潮，10年期国债上行27BP至1.90%；3月中旬至3月底，税期、季末央行公开市场投放偏积极，资金价格边际持稳，MLF转为净投放，宽货币预期叠加权益市场动能转弱，10年期国债收益率下行8BP至1.81%。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面对二季度市场利率的下行，管理人积极调整投资策略，通过上季度和季初提前锁定收益并把握市场机会，增配了一二级信用债。另一方面，针对季末资金利率季节性上升特点，产品在季末提高了高价存款和回购的配置比例，这一策略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ind w:firstLine="420" w:firstLineChars="200"/>
        <w:rPr>
          <w:rFonts w:hint="eastAsia" w:ascii="楷体" w:hAnsi="楷体" w:eastAsia="楷体" w:cs="楷体"/>
          <w:sz w:val="21"/>
          <w:szCs w:val="21"/>
        </w:rPr>
      </w:pPr>
    </w:p>
    <w:p>
      <w:pPr>
        <w:pStyle w:val="2"/>
        <w:rPr>
          <w:rFonts w:ascii="楷体" w:hAnsi="楷体" w:cs="楷体"/>
          <w:b w:val="0"/>
          <w:sz w:val="21"/>
        </w:rPr>
      </w:pPr>
      <w:r>
        <w:rPr>
          <w:rFonts w:hint="eastAsia" w:ascii="楷体" w:hAnsi="楷体" w:cs="楷体"/>
          <w:b w:val="0"/>
          <w:sz w:val="21"/>
        </w:rPr>
        <w:t>2、后市展望及下阶段投资策略</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hint="eastAsia" w:ascii="楷体" w:hAnsi="楷体" w:eastAsia="楷体" w:cs="楷体"/>
          <w:sz w:val="21"/>
          <w:szCs w:val="21"/>
          <w:lang w:eastAsia="zh-CN"/>
        </w:rPr>
      </w:pPr>
    </w:p>
    <w:p>
      <w:pPr>
        <w:pStyle w:val="2"/>
        <w:rPr>
          <w:rFonts w:ascii="楷体" w:hAnsi="楷体" w:cs="楷体"/>
          <w:b w:val="0"/>
          <w:sz w:val="21"/>
        </w:rPr>
      </w:pPr>
      <w:r>
        <w:rPr>
          <w:rFonts w:hint="eastAsia" w:ascii="楷体" w:hAnsi="楷体" w:cs="楷体"/>
          <w:b w:val="0"/>
          <w:sz w:val="21"/>
        </w:rPr>
        <w:t>3、流动性风险分析</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bookmarkStart w:id="1" w:name="_GoBack"/>
      <w:r>
        <w:rPr>
          <w:rFonts w:hint="eastAsia" w:ascii="楷体" w:hAnsi="楷体" w:eastAsia="楷体" w:cs="楷体"/>
          <w:b w:val="0"/>
          <w:bCs/>
          <w:kern w:val="0"/>
          <w:sz w:val="21"/>
          <w:szCs w:val="21"/>
          <w:lang w:val="en-US" w:eastAsia="zh-CN" w:bidi="ar-SA"/>
        </w:rPr>
        <w:t>2025年上半年，市场流动性整体宽松，本产品在投资高流动性的利率债和AAA存单以外，动态调整产品杠杆率，充分做好资金准备，平稳度过各关键时点，充分满足了产品的流动性需求，保障了投资者的赎回需求。</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展望后市，本产品将继续重点投资信用等级较高、流动性较好的各类标的，做好资金安排和流动性预判，充分满足产品流动性需求。</w:t>
      </w:r>
    </w:p>
    <w:bookmarkEnd w:id="1"/>
    <w:p>
      <w:pPr>
        <w:pStyle w:val="4"/>
        <w:spacing w:before="0" w:line="240" w:lineRule="auto"/>
        <w:ind w:left="0" w:right="0" w:firstLine="0" w:firstLineChars="0"/>
        <w:rPr>
          <w:rFonts w:ascii="楷体" w:hAnsi="楷体" w:eastAsia="楷体" w:cs="楷体"/>
          <w:sz w:val="21"/>
        </w:rPr>
      </w:pPr>
    </w:p>
    <w:p>
      <w:pPr>
        <w:pStyle w:val="2"/>
        <w:rPr>
          <w:rFonts w:hint="eastAsia" w:ascii="楷体" w:hAnsi="楷体" w:cs="楷体"/>
        </w:rPr>
      </w:pPr>
      <w:r>
        <w:rPr>
          <w:rFonts w:hint="eastAsia" w:ascii="楷体" w:hAnsi="楷体" w:cs="楷体"/>
        </w:rPr>
        <w:t>五</w:t>
      </w:r>
      <w:r>
        <w:rPr>
          <w:rFonts w:hint="eastAsia" w:ascii="楷体" w:hAnsi="楷体" w:cs="楷体"/>
          <w:lang w:eastAsia="zh-CN"/>
        </w:rPr>
        <w:t>、</w:t>
      </w:r>
      <w:r>
        <w:rPr>
          <w:rFonts w:hint="eastAsia" w:ascii="楷体" w:hAnsi="楷体" w:cs="楷体"/>
        </w:rPr>
        <w:t>托管人报告</w:t>
      </w:r>
    </w:p>
    <w:p>
      <w:pPr>
        <w:pStyle w:val="2"/>
        <w:ind w:firstLine="420" w:firstLineChars="200"/>
        <w:rPr>
          <w:rFonts w:hint="eastAsia" w:ascii="楷体" w:hAnsi="楷体" w:cs="楷体"/>
          <w:b w:val="0"/>
          <w:sz w:val="21"/>
        </w:rPr>
      </w:pPr>
      <w:r>
        <w:rPr>
          <w:rFonts w:hint="eastAsia" w:ascii="楷体" w:hAnsi="楷体" w:cs="楷体"/>
          <w:b w:val="0"/>
          <w:sz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hAnsi="楷体" w:eastAsia="楷体" w:cs="楷体"/>
          <w:bCs/>
          <w:kern w:val="0"/>
          <w:szCs w:val="21"/>
        </w:rPr>
      </w:pPr>
    </w:p>
    <w:p>
      <w:pPr>
        <w:rPr>
          <w:rFonts w:ascii="楷体" w:hAnsi="楷体" w:eastAsia="楷体" w:cs="楷体"/>
        </w:rPr>
      </w:pPr>
    </w:p>
    <w:p>
      <w:pPr>
        <w:ind w:firstLine="560" w:firstLineChars="200"/>
        <w:rPr>
          <w:rFonts w:ascii="楷体" w:hAnsi="楷体" w:eastAsia="楷体" w:cs="楷体"/>
          <w:bCs/>
          <w:kern w:val="0"/>
          <w:szCs w:val="21"/>
        </w:rPr>
      </w:pPr>
    </w:p>
    <w:p>
      <w:pPr>
        <w:rPr>
          <w:rFonts w:ascii="楷体" w:hAnsi="楷体" w:eastAsia="楷体" w:cs="楷体"/>
          <w:sz w:val="15"/>
          <w:szCs w:val="15"/>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1176A73"/>
    <w:rsid w:val="19DD2C78"/>
    <w:rsid w:val="3274303E"/>
    <w:rsid w:val="357B2A9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2025-07-22T07:56:16Z</dcterms:modified>
  <cp:revision>29</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TotalTime>
  <ScaleCrop>false</ScaleCrop>
  <LinksUpToDate>false</LinksUpToDate>
  <CharactersWithSpaces>2985</CharactersWithSpaces>
  <Application>WPS Office_10.8.2.7119_F1E327BC-269C-435d-A152-05C5408002CA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83533d-69b7-429d-842e-9ce704647c2a}">
  <ds:schemaRefs/>
</ds:datastoreItem>
</file>

<file path=customXml/itemProps3.xml><?xml version="1.0" encoding="utf-8"?>
<ds:datastoreItem xmlns:ds="http://schemas.openxmlformats.org/officeDocument/2006/customXml" ds:itemID="{a9a2967e-636e-4514-9e92-10a8778ad842}">
  <ds:schemaRefs/>
</ds:datastoreItem>
</file>

<file path=customXml/itemProps4.xml><?xml version="1.0" encoding="utf-8"?>
<ds:datastoreItem xmlns:ds="http://schemas.openxmlformats.org/officeDocument/2006/customXml" ds:itemID="{28fa8184-79a8-44c2-b4be-4f4bde0157f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25</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2025-08-26T07:06:48Z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6D2E15C6654E4C67AFA91BB59C1CC5F4</vt:lpwstr>
  </property>
</Properties>
</file>