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恒源1年定开19期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恒源1年定开19期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13</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21</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4"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恒源1年定开19期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恒源1年定开19期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恒源1年定开19期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恒源1年定开19期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苏银理财恒源1年定开19期ZN（自动赎回）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苏银理财恒源1年定开19期ZQ（自动赎回）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苏银理财恒源1年定开19期ZR（自动赎回）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J06606</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13</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2025年8月22日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Q份额、S份额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ZN份额、ZQ份额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kern w:val="0"/>
                <w:sz w:val="20"/>
                <w:szCs w:val="21"/>
                <w:lang w:val="en-US" w:eastAsia="zh-CN" w:bidi="ar-SA"/>
              </w:rPr>
            </w:pPr>
            <w:r>
              <w:rPr>
                <w:rFonts w:hint="eastAsia" w:ascii="楷体" w:hAnsi="楷体" w:eastAsia="楷体" w:cs="楷体"/>
                <w:lang w:val="en-US" w:eastAsia="zh-CN"/>
              </w:rPr>
              <w:t>S份额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ZR份额 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ZR份额 0.45%/年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eastAsia" w:ascii="楷体" w:hAnsi="楷体" w:eastAsia="楷体" w:cs="楷体"/>
                <w:kern w:val="0"/>
                <w:sz w:val="20"/>
                <w:szCs w:val="21"/>
                <w:lang w:val="en-US" w:eastAsia="zh-CN" w:bidi="ar-SA"/>
              </w:rPr>
            </w:pPr>
            <w:r>
              <w:rPr>
                <w:rFonts w:hint="eastAsia" w:ascii="楷体" w:hAnsi="楷体" w:eastAsia="楷体" w:cs="楷体"/>
                <w:kern w:val="0"/>
                <w:sz w:val="20"/>
                <w:szCs w:val="21"/>
                <w:lang w:val="en-US" w:eastAsia="zh-CN" w:bidi="ar-SA"/>
              </w:rPr>
              <w:t>ZQ份额 0.80%/年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ZR份额 0.60%/年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22</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13</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21</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8</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4</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853A0B"/>
    <w:rsid w:val="6BCF16F1"/>
    <w:rsid w:val="6C907499"/>
    <w:rsid w:val="6C9932B3"/>
    <w:rsid w:val="6CB82799"/>
    <w:rsid w:val="6D3235AF"/>
    <w:rsid w:val="6D6605E1"/>
    <w:rsid w:val="6DB046C3"/>
    <w:rsid w:val="6DCA25A9"/>
    <w:rsid w:val="6E374AEF"/>
    <w:rsid w:val="6F0E64D5"/>
    <w:rsid w:val="6F763638"/>
    <w:rsid w:val="6F9D748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4</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2025-08-04T03:27:22Z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