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楷体"/>
          <w:b/>
          <w:bCs/>
          <w:spacing w:val="-1"/>
          <w:sz w:val="36"/>
          <w:szCs w:val="36"/>
        </w:rPr>
        <w:t>苏银理财恒源1年定开37期</w:t>
      </w:r>
      <w:r>
        <w:rPr>
          <w:rFonts w:hint="eastAsia" w:ascii="楷体" w:hAnsi="楷体" w:eastAsia="楷体" w:cs="Times New Roman"/>
          <w:b/>
          <w:sz w:val="36"/>
          <w:szCs w:val="36"/>
        </w:rPr>
        <w:t>”理财产品非标准化债权类资产变动公告</w:t>
      </w:r>
    </w:p>
    <w:p>
      <w:pPr>
        <w:pStyle w:val="8"/>
        <w:spacing w:before="0" w:beforeAutospacing="0" w:after="0" w:afterAutospacing="0" w:line="360" w:lineRule="auto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尊敬的投资者：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“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苏银理财恒源1年定开37期</w:t>
      </w:r>
      <w:r>
        <w:rPr>
          <w:rFonts w:hint="eastAsia" w:ascii="楷体" w:hAnsi="楷体" w:eastAsia="楷体" w:cs="Times New Roman"/>
        </w:rPr>
        <w:t>”理财产品</w:t>
      </w:r>
      <w:r>
        <w:rPr>
          <w:rFonts w:hint="eastAsia" w:ascii="楷体" w:hAnsi="楷体" w:eastAsia="楷体" w:cs="Times New Roman"/>
          <w:lang w:val="en-US" w:eastAsia="zh-CN"/>
        </w:rPr>
        <w:t>发生非标准化债权类资产变动，具体情况如下：</w:t>
      </w:r>
    </w:p>
    <w:p>
      <w:pPr>
        <w:pStyle w:val="2"/>
        <w:rPr>
          <w:rFonts w:ascii="楷体" w:hAnsi="楷体"/>
        </w:rPr>
      </w:pPr>
      <w:r>
        <w:rPr>
          <w:rFonts w:hint="eastAsia" w:ascii="楷体" w:hAnsi="楷体"/>
        </w:rPr>
        <w:t>一</w:t>
      </w:r>
      <w:bookmarkStart w:id="0" w:name="_Toc535504139"/>
      <w:r>
        <w:rPr>
          <w:rFonts w:hint="eastAsia" w:ascii="楷体" w:hAnsi="楷体"/>
        </w:rPr>
        <w:t>、产品基本情况</w:t>
      </w:r>
      <w:bookmarkEnd w:id="0"/>
    </w:p>
    <w:tbl>
      <w:tblPr>
        <w:tblStyle w:val="9"/>
        <w:tblW w:w="8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3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苏银理财恒源1年定开37期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pacing w:val="-1"/>
                <w:sz w:val="24"/>
                <w:szCs w:val="24"/>
              </w:rPr>
              <w:t>Z7003122000158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J02184、J02185、J02186、J02187、J03010、J03011、J03012、J03013、J03014、J03714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2023-01-05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2025-0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-2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6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rPr>
          <w:rFonts w:hint="default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二、增加的非标准化债权类资产明细</w:t>
      </w:r>
    </w:p>
    <w:tbl>
      <w:tblPr>
        <w:tblStyle w:val="9"/>
        <w:tblW w:w="87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numPr>
          <w:ilvl w:val="0"/>
          <w:numId w:val="1"/>
        </w:numPr>
        <w:rPr>
          <w:rFonts w:hint="eastAsia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减少的非标准化债权类资产明细</w:t>
      </w:r>
    </w:p>
    <w:tbl>
      <w:tblPr>
        <w:tblStyle w:val="9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2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</w:rPr>
              <w:t>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申万宏源证券有限公司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申万宏源-龙鼎定制-2243期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到期还本付息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投资券商收益凭证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特此公告。</w:t>
      </w:r>
    </w:p>
    <w:p>
      <w:pPr>
        <w:rPr>
          <w:rFonts w:ascii="楷体" w:hAnsi="楷体" w:eastAsia="楷体"/>
        </w:rPr>
      </w:pPr>
    </w:p>
    <w:p>
      <w:pPr>
        <w:jc w:val="righ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苏银理财</w:t>
      </w:r>
      <w:r>
        <w:rPr>
          <w:rFonts w:ascii="楷体" w:hAnsi="楷体" w:eastAsia="楷体"/>
          <w:b/>
          <w:sz w:val="24"/>
          <w:szCs w:val="24"/>
        </w:rPr>
        <w:t>有限责任公司</w:t>
      </w:r>
    </w:p>
    <w:p>
      <w:pPr>
        <w:ind w:right="105"/>
        <w:jc w:val="right"/>
        <w:rPr>
          <w:rFonts w:ascii="楷体" w:hAnsi="楷体" w:eastAsia="楷体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2025年0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月2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日</w:t>
      </w: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  <w:t>备注：本次披露内容解释权归苏银理财所有，不构成</w:t>
      </w:r>
      <w:bookmarkStart w:id="1" w:name="_GoBack"/>
      <w:bookmarkEnd w:id="1"/>
      <w: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  <w:t>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pict>
        <v:shape id="WordPictureWatermark1026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5" o:spid="_x0000_s204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7" o:spid="_x0000_s2052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0A831D9F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99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link w:val="23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 w:eastAsia="楷体"/>
      <w:b/>
      <w:bCs/>
      <w:kern w:val="0"/>
      <w:sz w:val="24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 w:eastAsia="宋体" w:cs="宋体"/>
      <w:kern w:val="0"/>
      <w:sz w:val="20"/>
      <w:szCs w:val="21"/>
    </w:rPr>
  </w:style>
  <w:style w:type="paragraph" w:styleId="5">
    <w:name w:val="Balloon Text"/>
    <w:basedOn w:val="1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paragraph" w:customStyle="1" w:styleId="13">
    <w:name w:val="无间隔1"/>
    <w:qFormat/>
    <w:uiPriority w:val="1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4">
    <w:name w:val="标题4"/>
    <w:basedOn w:val="1"/>
    <w:qFormat/>
    <w:uiPriority w:val="0"/>
    <w:rPr>
      <w:rFonts w:eastAsia="楷体"/>
    </w:rPr>
  </w:style>
  <w:style w:type="character" w:customStyle="1" w:styleId="15">
    <w:name w:val="页眉 字符"/>
    <w:qFormat/>
    <w:uiPriority w:val="99"/>
    <w:rPr>
      <w:sz w:val="18"/>
      <w:szCs w:val="18"/>
    </w:rPr>
  </w:style>
  <w:style w:type="character" w:customStyle="1" w:styleId="16">
    <w:name w:val="页脚 字符"/>
    <w:qFormat/>
    <w:uiPriority w:val="99"/>
    <w:rPr>
      <w:sz w:val="18"/>
      <w:szCs w:val="18"/>
    </w:rPr>
  </w:style>
  <w:style w:type="character" w:customStyle="1" w:styleId="17">
    <w:name w:val="正文文本 字符1"/>
    <w:qFormat/>
    <w:uiPriority w:val="1"/>
    <w:rPr>
      <w:rFonts w:ascii="宋体" w:hAnsi="Times New Roman" w:eastAsia="宋体" w:cs="宋体"/>
      <w:szCs w:val="21"/>
    </w:rPr>
  </w:style>
  <w:style w:type="character" w:customStyle="1" w:styleId="18">
    <w:name w:val="正文文本 字符"/>
    <w:semiHidden/>
    <w:qFormat/>
    <w:uiPriority w:val="99"/>
    <w:rPr>
      <w:kern w:val="2"/>
      <w:sz w:val="21"/>
      <w:szCs w:val="22"/>
    </w:rPr>
  </w:style>
  <w:style w:type="character" w:customStyle="1" w:styleId="19">
    <w:name w:val="批注文字 字符1"/>
    <w:qFormat/>
    <w:uiPriority w:val="99"/>
    <w:rPr>
      <w:kern w:val="2"/>
      <w:sz w:val="21"/>
      <w:szCs w:val="22"/>
    </w:rPr>
  </w:style>
  <w:style w:type="character" w:customStyle="1" w:styleId="20">
    <w:name w:val="批注文字 字符"/>
    <w:semiHidden/>
    <w:qFormat/>
    <w:uiPriority w:val="99"/>
    <w:rPr>
      <w:kern w:val="2"/>
      <w:sz w:val="21"/>
      <w:szCs w:val="22"/>
    </w:rPr>
  </w:style>
  <w:style w:type="character" w:customStyle="1" w:styleId="21">
    <w:name w:val="批注框文本 字符"/>
    <w:semiHidden/>
    <w:qFormat/>
    <w:uiPriority w:val="99"/>
    <w:rPr>
      <w:kern w:val="2"/>
      <w:sz w:val="18"/>
      <w:szCs w:val="18"/>
    </w:rPr>
  </w:style>
  <w:style w:type="character" w:customStyle="1" w:styleId="22">
    <w:name w:val="标题 3 字符"/>
    <w:semiHidden/>
    <w:qFormat/>
    <w:uiPriority w:val="9"/>
    <w:rPr>
      <w:b/>
      <w:bCs/>
      <w:kern w:val="2"/>
      <w:sz w:val="32"/>
      <w:szCs w:val="32"/>
    </w:rPr>
  </w:style>
  <w:style w:type="character" w:customStyle="1" w:styleId="23">
    <w:name w:val="标题 3 字符1"/>
    <w:link w:val="2"/>
    <w:qFormat/>
    <w:uiPriority w:val="1"/>
    <w:rPr>
      <w:rFonts w:ascii="宋体" w:hAnsi="Times New Roman" w:eastAsia="楷体"/>
      <w:b/>
      <w:bCs/>
      <w:sz w:val="24"/>
      <w:szCs w:val="21"/>
    </w:rPr>
  </w:style>
  <w:style w:type="character" w:customStyle="1" w:styleId="24">
    <w:name w:val="标题4 字符"/>
    <w:qFormat/>
    <w:uiPriority w:val="0"/>
    <w:rPr>
      <w:rFonts w:eastAsia="楷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4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  <customShpInfo spid="_x0000_s2052"/>
  </customShpExts>
</s:customData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14a030-e758-4749-ac2b-1364b5488e49}">
  <ds:schemaRefs/>
</ds:datastoreItem>
</file>

<file path=customXml/itemProps3.xml><?xml version="1.0" encoding="utf-8"?>
<ds:datastoreItem xmlns:ds="http://schemas.openxmlformats.org/officeDocument/2006/customXml" ds:itemID="{844b5d5c-c4cb-4fdf-b065-630f0d99a135}">
  <ds:schemaRefs/>
</ds:datastoreItem>
</file>

<file path=customXml/itemProps4.xml><?xml version="1.0" encoding="utf-8"?>
<ds:datastoreItem xmlns:ds="http://schemas.openxmlformats.org/officeDocument/2006/customXml" ds:itemID="{36912f8c-cfe3-4713-a861-8031d35246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2021-11-18T10:04:00Z</dcterms:created>
  <dc:creator>User</dc:creator>
  <cp:lastModifiedBy>jsyh</cp:lastModifiedBy>
  <dcterms:modified xsi:type="dcterms:W3CDTF">2025-08-27T02:03:43Z</dcterms:modified>
  <dc:title>_x201C__x0024__x007B_prdInfo.PRD_NAME_x007D__x201D_理财产品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4F6A5118D7F540908591AA2DF813D345</vt:lpwstr>
  </property>
</Properties>
</file>