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苏银理财恒源天添鑫10号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苏银理财恒源天添鑫10号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2025年06月26日</w:t>
      </w:r>
      <w:r>
        <w:rPr>
          <w:rFonts w:ascii="楷体" w:eastAsia="楷体" w:hAnsi="楷体" w:cs="楷体" w:hint="eastAsia"/>
        </w:rPr>
        <w:t xml:space="preserve">成立，于</w:t>
      </w:r>
      <w:r>
        <w:rPr>
          <w:rFonts w:ascii="楷体" w:eastAsia="楷体" w:hAnsi="楷体" w:cs="楷体" w:hint="eastAsia"/>
          <w:spacing w:val="-7"/>
        </w:rPr>
        <w:t xml:space="preserve">2025年06月26日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苏银理财恒源天添鑫10号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695,394,743.58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702,333,129.29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31000188000691008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702,353,105.17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苏银理财恒源天添鑫10号A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1.009977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1.009977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中国人民银行公布的7天通知存款利率+0.30%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93.93%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93.93%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78,551,009.99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64,969,266.61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44,104,644.15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19,163,958.25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19,142,859.76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14,698,369.35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12,658,911.19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12,611,736.85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12,406,391.74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23蓝天01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11,789,880.75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564,926,724.00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659,250,000.00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868,069.00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2,366.56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473.28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695,394,743.58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情绪偏脆弱，持续处于逆风期。具体来看，7月主要围绕“反内卷”交易，权益及商品市场大涨，对债市形成压制，通缩逻辑有所动摇；8月股债跷跷板效应极致演绎，债市叙事逻辑切换，机构普遍看股做债；9月“公募基金赎回费率新规”征求意见稿引发债市新一轮调整，债基赎回恐慌不断，长债利率冲击年内高点。从估值角度来看，30年国债活跃券从1.85%上行28BP至2.13%，10年国债活跃券由1.64%上行14BP至1.78%，期间30年最高触及2.18%，10年触及1.835%。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本产品以存款、回购等低波资产筑底，配置部分优质高评级信用债券，合理控制久期，适时参与确定性较强的存单、短债等品种的交易机会，严控回撤，兼顾低风险偏好和收益性。</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立足当下，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中短端的确定性相对更高。</w:t>
      </w:r>
      <w:r>
        <w:rPr>
          <w:rFonts w:ascii="楷体" w:eastAsia="楷体" w:hAnsi="楷体" w:cs="楷体" w:hint="eastAsia"/>
          <w:spacing w:val="9"/>
          <w:sz w:val="21"/>
        </w:rPr>
        <w:br/>
      </w:r>
      <w:r>
        <w:rPr>
          <w:rFonts w:ascii="楷体" w:eastAsia="楷体" w:hAnsi="楷体" w:cs="楷体" w:hint="eastAsia"/>
          <w:spacing w:val="9"/>
          <w:sz w:val="21"/>
        </w:rPr>
        <w:t xml:space="preserve">    后续我们也将紧密跟踪国内外经济形势和政策变化，加强投资分析研究，继续采取低波动、强稳健的投资策略，加强久期管理和流动性管理，保持合理弹性，严格控制回撤，通过精细化的资产配置、头寸管理和风险控制，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在资产配置上以存款类资产以及优质标准化债权类资产为主，变现能力较强，并通过资产久期管理、流动性指标监控等多项措施，维持流动性处于合理充裕水平，确保本产品资产的变现能力与投资者赎回需求相匹配。</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95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95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95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95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2025-10-21T10:51:57Z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