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苏银理财恒源1年定开37期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苏银理财恒源1年定开37期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苏银理财恒源1年定开37期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J02184、J02185、J02186、J02187、J03010、J03011、J03012、J03013、J03014、J03714、J13207、J13208、J13209、J13210、J13211、J13212、J13214、J13312、J13313、J13523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2023-01-05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马上导流、信托自主审核通过的借款人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外贸信托-汇金鑫选101号（四十七期）-4（马上消金）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467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467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467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467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2026-01-22T00:32:31Z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