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“苏银理财恒源1年定开2011期”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苏银理财恒源1年定开2011期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Z7003121000081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J200212SA191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苏银理财恒源1年定开2011期A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0.029809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J02166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0.030097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J02964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0.031409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J02965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0.029771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J02167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0.030310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J02966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0.030861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J02967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苏银理财恒源1年定开2011期ZA鑫福款（自动赎回）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0.029762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J02968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苏银理财恒源1年定开2011期ZF（自动赎回）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0.029770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2026年01月23日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3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4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2026-01-23T02:05:42Z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