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outlineLvl w:val="0"/>
        <w:rPr>
          <w:rFonts w:hint="eastAsia" w:ascii="楷体" w:hAnsi="楷体" w:eastAsia="楷体"/>
          <w:b/>
          <w:sz w:val="36"/>
          <w:szCs w:val="36"/>
        </w:rPr>
      </w:pPr>
      <w:r>
        <w:rPr>
          <w:rFonts w:hint="eastAsia" w:ascii="楷体" w:hAnsi="楷体" w:eastAsia="楷体"/>
          <w:b/>
          <w:sz w:val="36"/>
          <w:szCs w:val="36"/>
        </w:rPr>
        <w:t>关于调整“苏银理财恒源</w:t>
      </w:r>
      <w:r>
        <w:rPr>
          <w:rFonts w:hint="eastAsia" w:ascii="楷体" w:hAnsi="楷体" w:eastAsia="楷体"/>
          <w:b/>
          <w:sz w:val="36"/>
          <w:szCs w:val="36"/>
          <w:lang w:val="en-US" w:eastAsia="zh-CN"/>
        </w:rPr>
        <w:t>周开放1号</w:t>
      </w:r>
      <w:r>
        <w:rPr>
          <w:rFonts w:hint="eastAsia" w:ascii="楷体" w:hAnsi="楷体" w:eastAsia="楷体"/>
          <w:b/>
          <w:sz w:val="36"/>
          <w:szCs w:val="36"/>
        </w:rPr>
        <w:t xml:space="preserve">” </w:t>
      </w:r>
    </w:p>
    <w:p>
      <w:pPr>
        <w:jc w:val="center"/>
        <w:outlineLvl w:val="0"/>
        <w:rPr>
          <w:rFonts w:hint="eastAsia" w:ascii="楷体" w:hAnsi="楷体" w:eastAsia="楷体"/>
          <w:b/>
          <w:kern w:val="0"/>
          <w:sz w:val="36"/>
          <w:szCs w:val="36"/>
        </w:rPr>
      </w:pPr>
      <w:r>
        <w:rPr>
          <w:rFonts w:hint="eastAsia" w:ascii="楷体" w:hAnsi="楷体" w:eastAsia="楷体"/>
          <w:b/>
          <w:sz w:val="36"/>
          <w:szCs w:val="36"/>
        </w:rPr>
        <w:t>理财产品要素的公告</w:t>
      </w:r>
    </w:p>
    <w:p>
      <w:pPr>
        <w:spacing w:line="520" w:lineRule="exact"/>
        <w:rPr>
          <w:rFonts w:hint="eastAsia" w:ascii="楷体" w:hAnsi="楷体" w:eastAsia="楷体" w:cs="Times New Roman"/>
          <w:b/>
          <w:bCs/>
          <w:sz w:val="28"/>
          <w:szCs w:val="28"/>
          <w:lang w:val="en-US" w:eastAsia="zh-CN"/>
        </w:rPr>
      </w:pPr>
      <w:r>
        <w:rPr>
          <w:rFonts w:hint="eastAsia" w:ascii="楷体" w:hAnsi="楷体" w:eastAsia="楷体"/>
          <w:kern w:val="0"/>
          <w:sz w:val="28"/>
          <w:szCs w:val="28"/>
        </w:rPr>
        <w:t>尊敬的客户：</w:t>
      </w:r>
    </w:p>
    <w:p>
      <w:pPr>
        <w:pStyle w:val="11"/>
        <w:spacing w:before="0" w:beforeAutospacing="0" w:after="0" w:afterAutospacing="0" w:line="480" w:lineRule="auto"/>
        <w:ind w:firstLine="560" w:firstLineChars="200"/>
        <w:rPr>
          <w:rFonts w:hint="eastAsia" w:ascii="楷体" w:hAnsi="楷体" w:eastAsia="楷体" w:cs="Times New Roman"/>
          <w:sz w:val="28"/>
          <w:szCs w:val="28"/>
          <w:lang w:val="en-US" w:eastAsia="zh-CN"/>
        </w:rPr>
      </w:pPr>
      <w:r>
        <w:rPr>
          <w:rFonts w:hint="eastAsia" w:ascii="楷体" w:hAnsi="楷体" w:eastAsia="楷体" w:cs="Times New Roman"/>
          <w:sz w:val="28"/>
          <w:szCs w:val="28"/>
          <w:lang w:val="en-US" w:eastAsia="zh-CN"/>
        </w:rPr>
        <w:t>管理人拟对“苏银理财恒源周开放1号”理财产品部分要素进行调整，具体如下：</w:t>
      </w:r>
    </w:p>
    <w:p>
      <w:pPr>
        <w:pStyle w:val="11"/>
        <w:numPr>
          <w:ilvl w:val="0"/>
          <w:numId w:val="1"/>
        </w:numPr>
        <w:spacing w:before="0" w:beforeAutospacing="0" w:after="0" w:afterAutospacing="0" w:line="480" w:lineRule="auto"/>
        <w:ind w:firstLine="562" w:firstLineChars="200"/>
        <w:rPr>
          <w:rFonts w:hint="eastAsia" w:ascii="楷体" w:hAnsi="楷体" w:eastAsia="楷体" w:cs="Times New Roman"/>
          <w:b/>
          <w:bCs/>
          <w:sz w:val="28"/>
          <w:szCs w:val="28"/>
          <w:lang w:val="en-US" w:eastAsia="zh-CN"/>
        </w:rPr>
      </w:pPr>
      <w:r>
        <w:rPr>
          <w:rFonts w:hint="eastAsia" w:ascii="楷体" w:hAnsi="楷体" w:eastAsia="楷体" w:cs="Times New Roman"/>
          <w:b/>
          <w:bCs/>
          <w:sz w:val="28"/>
          <w:szCs w:val="28"/>
          <w:lang w:val="en-US" w:eastAsia="zh-CN"/>
        </w:rPr>
        <w:t>业绩比较基准调整</w:t>
      </w:r>
    </w:p>
    <w:p>
      <w:pPr>
        <w:pStyle w:val="11"/>
        <w:spacing w:before="0" w:beforeAutospacing="0" w:after="312" w:afterLines="100" w:afterAutospacing="0" w:line="480" w:lineRule="auto"/>
        <w:ind w:firstLine="560" w:firstLineChars="200"/>
        <w:rPr>
          <w:rFonts w:hint="eastAsia" w:ascii="楷体" w:hAnsi="楷体" w:eastAsia="楷体" w:cs="Times New Roman"/>
          <w:sz w:val="28"/>
          <w:szCs w:val="28"/>
        </w:rPr>
      </w:pPr>
      <w:r>
        <w:rPr>
          <w:rFonts w:hint="eastAsia" w:ascii="楷体" w:hAnsi="楷体" w:eastAsia="楷体" w:cs="Times New Roman"/>
          <w:sz w:val="28"/>
          <w:szCs w:val="28"/>
          <w:lang w:val="en-US" w:eastAsia="zh-CN"/>
        </w:rPr>
        <w:t>根据投资运作情况</w:t>
      </w:r>
      <w:r>
        <w:rPr>
          <w:rFonts w:hint="eastAsia" w:ascii="楷体" w:hAnsi="楷体" w:eastAsia="楷体" w:cs="Times New Roman"/>
          <w:sz w:val="28"/>
          <w:szCs w:val="28"/>
        </w:rPr>
        <w:t>，管理人对“苏银理财恒源</w:t>
      </w:r>
      <w:r>
        <w:rPr>
          <w:rFonts w:hint="eastAsia" w:ascii="楷体" w:hAnsi="楷体" w:eastAsia="楷体" w:cs="Times New Roman"/>
          <w:sz w:val="28"/>
          <w:szCs w:val="28"/>
          <w:lang w:eastAsia="zh-CN"/>
        </w:rPr>
        <w:t>周开放1号</w:t>
      </w:r>
      <w:r>
        <w:rPr>
          <w:rFonts w:hint="eastAsia" w:ascii="楷体" w:hAnsi="楷体" w:eastAsia="楷体" w:cs="Times New Roman"/>
          <w:sz w:val="28"/>
          <w:szCs w:val="28"/>
        </w:rPr>
        <w:t>”理财产品</w:t>
      </w:r>
      <w:r>
        <w:rPr>
          <w:rFonts w:hint="eastAsia" w:ascii="楷体" w:hAnsi="楷体" w:eastAsia="楷体" w:cs="Times New Roman"/>
          <w:sz w:val="28"/>
          <w:szCs w:val="28"/>
          <w:lang w:val="en-US" w:eastAsia="zh-CN"/>
        </w:rPr>
        <w:t>的业绩比较基准进行调整（</w:t>
      </w:r>
      <w:r>
        <w:rPr>
          <w:rFonts w:hint="eastAsia" w:ascii="楷体" w:hAnsi="楷体" w:eastAsia="楷体" w:cs="Times New Roman"/>
          <w:sz w:val="28"/>
          <w:szCs w:val="28"/>
        </w:rPr>
        <w:t>业绩比较基准</w:t>
      </w:r>
      <w:r>
        <w:rPr>
          <w:rFonts w:hint="eastAsia" w:ascii="楷体" w:hAnsi="楷体" w:eastAsia="楷体" w:cs="Times New Roman"/>
          <w:sz w:val="28"/>
          <w:szCs w:val="28"/>
          <w:lang w:val="en-US" w:eastAsia="zh-CN"/>
        </w:rPr>
        <w:t>为管理人</w:t>
      </w:r>
      <w:r>
        <w:rPr>
          <w:rFonts w:hint="eastAsia" w:ascii="楷体" w:hAnsi="楷体" w:eastAsia="楷体" w:cs="Times New Roman"/>
          <w:sz w:val="28"/>
          <w:szCs w:val="28"/>
        </w:rPr>
        <w:t>对本产品所设定的投资目标，不代表理财产品未来表现，不等于理财产品实际收益，不作为产品收益的业绩保证，投资者的实际收益由产品净值表现决定</w:t>
      </w:r>
      <w:r>
        <w:rPr>
          <w:rFonts w:hint="eastAsia" w:ascii="楷体" w:hAnsi="楷体" w:eastAsia="楷体" w:cs="Times New Roman"/>
          <w:sz w:val="28"/>
          <w:szCs w:val="28"/>
          <w:lang w:val="en-US" w:eastAsia="zh-CN"/>
        </w:rPr>
        <w:t>）。具体安排如下</w:t>
      </w:r>
      <w:r>
        <w:rPr>
          <w:rFonts w:hint="eastAsia" w:ascii="楷体" w:hAnsi="楷体" w:eastAsia="楷体" w:cs="Times New Roman"/>
          <w:sz w:val="28"/>
          <w:szCs w:val="28"/>
        </w:rPr>
        <w:t>：</w:t>
      </w:r>
    </w:p>
    <w:tbl>
      <w:tblPr>
        <w:tblStyle w:val="13"/>
        <w:tblW w:w="5229"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083"/>
        <w:gridCol w:w="1793"/>
        <w:gridCol w:w="1844"/>
        <w:gridCol w:w="22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6" w:hRule="atLeast"/>
          <w:jc w:val="center"/>
        </w:trPr>
        <w:tc>
          <w:tcPr>
            <w:tcW w:w="1709" w:type="pct"/>
            <w:vMerge w:val="restart"/>
            <w:noWrap w:val="0"/>
            <w:vAlign w:val="center"/>
          </w:tcPr>
          <w:p>
            <w:pPr>
              <w:pStyle w:val="11"/>
              <w:spacing w:before="0" w:beforeAutospacing="0" w:after="0" w:afterAutospacing="0" w:line="400" w:lineRule="exact"/>
              <w:jc w:val="center"/>
              <w:rPr>
                <w:rFonts w:hint="eastAsia" w:ascii="楷体" w:hAnsi="楷体" w:eastAsia="楷体" w:cs="Times New Roman"/>
                <w:b/>
                <w:bCs/>
                <w:sz w:val="24"/>
                <w:szCs w:val="24"/>
              </w:rPr>
            </w:pPr>
            <w:r>
              <w:rPr>
                <w:rFonts w:hint="eastAsia" w:ascii="楷体" w:hAnsi="楷体" w:eastAsia="楷体" w:cs="Times New Roman"/>
                <w:b/>
                <w:bCs/>
                <w:sz w:val="24"/>
                <w:szCs w:val="24"/>
              </w:rPr>
              <w:t>销售简称</w:t>
            </w:r>
          </w:p>
        </w:tc>
        <w:tc>
          <w:tcPr>
            <w:tcW w:w="994" w:type="pct"/>
            <w:vMerge w:val="restart"/>
            <w:noWrap w:val="0"/>
            <w:vAlign w:val="center"/>
          </w:tcPr>
          <w:p>
            <w:pPr>
              <w:pStyle w:val="11"/>
              <w:spacing w:before="0" w:beforeAutospacing="0" w:after="0" w:afterAutospacing="0" w:line="400" w:lineRule="exact"/>
              <w:jc w:val="center"/>
              <w:rPr>
                <w:rFonts w:hint="eastAsia" w:ascii="楷体" w:hAnsi="楷体" w:eastAsia="楷体" w:cs="Times New Roman"/>
                <w:b/>
                <w:bCs/>
                <w:sz w:val="24"/>
                <w:szCs w:val="24"/>
              </w:rPr>
            </w:pPr>
            <w:r>
              <w:rPr>
                <w:rFonts w:hint="eastAsia" w:ascii="楷体" w:hAnsi="楷体" w:eastAsia="楷体" w:cs="Times New Roman"/>
                <w:b/>
                <w:bCs/>
                <w:sz w:val="24"/>
                <w:szCs w:val="24"/>
              </w:rPr>
              <w:t>销售代码</w:t>
            </w:r>
          </w:p>
        </w:tc>
        <w:tc>
          <w:tcPr>
            <w:tcW w:w="2295" w:type="pct"/>
            <w:gridSpan w:val="2"/>
            <w:noWrap w:val="0"/>
            <w:vAlign w:val="center"/>
          </w:tcPr>
          <w:p>
            <w:pPr>
              <w:pStyle w:val="11"/>
              <w:spacing w:before="0" w:beforeAutospacing="0" w:after="0" w:afterAutospacing="0" w:line="400" w:lineRule="exact"/>
              <w:jc w:val="center"/>
              <w:rPr>
                <w:rFonts w:hint="default" w:ascii="楷体" w:hAnsi="楷体" w:eastAsia="楷体" w:cs="Times New Roman"/>
                <w:b/>
                <w:bCs/>
                <w:sz w:val="24"/>
                <w:szCs w:val="24"/>
                <w:lang w:val="en-US" w:eastAsia="zh-CN"/>
              </w:rPr>
            </w:pPr>
            <w:r>
              <w:rPr>
                <w:rFonts w:hint="eastAsia" w:ascii="楷体" w:hAnsi="楷体" w:eastAsia="楷体" w:cs="Times New Roman"/>
                <w:b/>
                <w:bCs/>
                <w:sz w:val="24"/>
                <w:szCs w:val="24"/>
                <w:lang w:val="en-US" w:eastAsia="zh-CN"/>
              </w:rPr>
              <w:t>业绩比较基准（年化）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6" w:hRule="atLeast"/>
          <w:jc w:val="center"/>
        </w:trPr>
        <w:tc>
          <w:tcPr>
            <w:tcW w:w="1709" w:type="pct"/>
            <w:vMerge w:val="continue"/>
            <w:noWrap w:val="0"/>
            <w:vAlign w:val="center"/>
          </w:tcPr>
          <w:p>
            <w:pPr>
              <w:pStyle w:val="11"/>
              <w:spacing w:before="0" w:beforeAutospacing="0" w:after="0" w:afterAutospacing="0" w:line="400" w:lineRule="exact"/>
              <w:jc w:val="center"/>
              <w:rPr>
                <w:b/>
                <w:bCs/>
                <w:sz w:val="22"/>
                <w:szCs w:val="22"/>
              </w:rPr>
            </w:pPr>
          </w:p>
        </w:tc>
        <w:tc>
          <w:tcPr>
            <w:tcW w:w="994" w:type="pct"/>
            <w:vMerge w:val="continue"/>
            <w:noWrap w:val="0"/>
            <w:vAlign w:val="center"/>
          </w:tcPr>
          <w:p>
            <w:pPr>
              <w:pStyle w:val="11"/>
              <w:spacing w:before="0" w:beforeAutospacing="0" w:after="0" w:afterAutospacing="0" w:line="400" w:lineRule="exact"/>
              <w:jc w:val="center"/>
              <w:rPr>
                <w:b/>
                <w:bCs/>
                <w:sz w:val="22"/>
                <w:szCs w:val="22"/>
              </w:rPr>
            </w:pPr>
          </w:p>
        </w:tc>
        <w:tc>
          <w:tcPr>
            <w:tcW w:w="1022" w:type="pct"/>
            <w:noWrap w:val="0"/>
            <w:vAlign w:val="center"/>
          </w:tcPr>
          <w:p>
            <w:pPr>
              <w:pStyle w:val="11"/>
              <w:spacing w:before="0" w:beforeAutospacing="0" w:after="0" w:afterAutospacing="0" w:line="400" w:lineRule="exact"/>
              <w:jc w:val="center"/>
              <w:rPr>
                <w:rFonts w:hint="eastAsia" w:ascii="楷体" w:hAnsi="楷体" w:eastAsia="楷体" w:cs="Times New Roman"/>
                <w:b/>
                <w:bCs/>
                <w:sz w:val="24"/>
                <w:szCs w:val="24"/>
              </w:rPr>
            </w:pPr>
            <w:r>
              <w:rPr>
                <w:rFonts w:hint="eastAsia" w:ascii="楷体" w:hAnsi="楷体" w:eastAsia="楷体" w:cs="Times New Roman"/>
                <w:b/>
                <w:bCs/>
                <w:sz w:val="24"/>
                <w:szCs w:val="24"/>
                <w:lang w:val="en-US" w:eastAsia="zh-CN"/>
              </w:rPr>
              <w:t>调整前</w:t>
            </w:r>
          </w:p>
        </w:tc>
        <w:tc>
          <w:tcPr>
            <w:tcW w:w="1273" w:type="pct"/>
            <w:noWrap w:val="0"/>
            <w:vAlign w:val="center"/>
          </w:tcPr>
          <w:p>
            <w:pPr>
              <w:pStyle w:val="11"/>
              <w:spacing w:before="0" w:beforeAutospacing="0" w:after="0" w:afterAutospacing="0" w:line="400" w:lineRule="exact"/>
              <w:jc w:val="center"/>
              <w:rPr>
                <w:rFonts w:hint="eastAsia" w:ascii="楷体" w:hAnsi="楷体" w:eastAsia="楷体" w:cs="Times New Roman"/>
                <w:b/>
                <w:bCs/>
                <w:sz w:val="24"/>
                <w:szCs w:val="24"/>
              </w:rPr>
            </w:pPr>
            <w:r>
              <w:rPr>
                <w:rFonts w:hint="eastAsia" w:ascii="楷体" w:hAnsi="楷体" w:eastAsia="楷体" w:cs="Times New Roman"/>
                <w:b/>
                <w:bCs/>
                <w:sz w:val="24"/>
                <w:szCs w:val="24"/>
                <w:lang w:val="en-US" w:eastAsia="zh-CN"/>
              </w:rPr>
              <w:t>调整后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1709" w:type="pct"/>
            <w:noWrap w:val="0"/>
            <w:vAlign w:val="center"/>
          </w:tcPr>
          <w:p>
            <w:pPr>
              <w:keepNext w:val="0"/>
              <w:keepLines w:val="0"/>
              <w:pageBreakBefore w:val="0"/>
              <w:widowControl/>
              <w:kinsoku/>
              <w:wordWrap/>
              <w:overflowPunct/>
              <w:topLinePunct w:val="0"/>
              <w:autoSpaceDE/>
              <w:autoSpaceDN/>
              <w:bidi w:val="0"/>
              <w:adjustRightInd/>
              <w:snapToGrid/>
              <w:jc w:val="center"/>
              <w:textAlignment w:val="center"/>
              <w:rPr>
                <w:rFonts w:hint="eastAsia" w:ascii="楷体" w:hAnsi="楷体" w:eastAsia="楷体" w:cs="宋体"/>
                <w:spacing w:val="-2"/>
                <w:kern w:val="0"/>
                <w:sz w:val="24"/>
                <w:szCs w:val="24"/>
                <w:highlight w:val="none"/>
                <w:lang w:val="en-US" w:eastAsia="zh-CN" w:bidi="ar-SA"/>
              </w:rPr>
            </w:pPr>
            <w:bookmarkStart w:id="0" w:name="OLE_LINK1" w:colFirst="3" w:colLast="3"/>
            <w:r>
              <w:rPr>
                <w:rFonts w:hint="eastAsia" w:ascii="楷体" w:hAnsi="楷体" w:eastAsia="楷体" w:cs="宋体"/>
                <w:spacing w:val="-2"/>
                <w:kern w:val="0"/>
                <w:sz w:val="24"/>
                <w:szCs w:val="24"/>
                <w:highlight w:val="none"/>
                <w:lang w:val="en-US" w:eastAsia="zh-CN" w:bidi="ar-SA"/>
              </w:rPr>
              <w:t>苏银理财恒源周开放1号A</w:t>
            </w:r>
          </w:p>
        </w:tc>
        <w:tc>
          <w:tcPr>
            <w:tcW w:w="994" w:type="pct"/>
            <w:noWrap w:val="0"/>
            <w:vAlign w:val="center"/>
          </w:tcPr>
          <w:p>
            <w:pPr>
              <w:keepNext w:val="0"/>
              <w:keepLines w:val="0"/>
              <w:pageBreakBefore w:val="0"/>
              <w:widowControl/>
              <w:kinsoku/>
              <w:wordWrap/>
              <w:overflowPunct/>
              <w:topLinePunct w:val="0"/>
              <w:autoSpaceDE/>
              <w:autoSpaceDN/>
              <w:bidi w:val="0"/>
              <w:adjustRightInd/>
              <w:snapToGrid/>
              <w:jc w:val="center"/>
              <w:textAlignment w:val="center"/>
              <w:rPr>
                <w:rFonts w:hint="eastAsia" w:ascii="楷体" w:hAnsi="楷体" w:eastAsia="楷体" w:cs="宋体"/>
                <w:spacing w:val="-2"/>
                <w:kern w:val="0"/>
                <w:sz w:val="24"/>
                <w:szCs w:val="24"/>
                <w:highlight w:val="none"/>
                <w:lang w:val="en-US" w:eastAsia="zh-CN" w:bidi="ar-SA"/>
              </w:rPr>
            </w:pPr>
            <w:r>
              <w:rPr>
                <w:rFonts w:hint="eastAsia" w:ascii="楷体" w:hAnsi="楷体" w:eastAsia="楷体" w:cs="宋体"/>
                <w:spacing w:val="-2"/>
                <w:kern w:val="0"/>
                <w:sz w:val="24"/>
                <w:szCs w:val="24"/>
                <w:highlight w:val="none"/>
                <w:lang w:val="en-US" w:eastAsia="zh-CN" w:bidi="ar-SA"/>
              </w:rPr>
              <w:t>J172411SA799</w:t>
            </w:r>
          </w:p>
        </w:tc>
        <w:tc>
          <w:tcPr>
            <w:tcW w:w="1022" w:type="pct"/>
            <w:noWrap w:val="0"/>
            <w:vAlign w:val="center"/>
          </w:tcPr>
          <w:p>
            <w:pPr>
              <w:keepNext w:val="0"/>
              <w:keepLines w:val="0"/>
              <w:pageBreakBefore w:val="0"/>
              <w:widowControl/>
              <w:kinsoku/>
              <w:wordWrap/>
              <w:overflowPunct/>
              <w:topLinePunct w:val="0"/>
              <w:autoSpaceDE/>
              <w:autoSpaceDN/>
              <w:bidi w:val="0"/>
              <w:adjustRightInd/>
              <w:snapToGrid/>
              <w:jc w:val="center"/>
              <w:textAlignment w:val="center"/>
              <w:rPr>
                <w:rFonts w:hint="default" w:ascii="楷体" w:hAnsi="楷体" w:eastAsia="楷体" w:cs="宋体"/>
                <w:spacing w:val="-2"/>
                <w:kern w:val="0"/>
                <w:sz w:val="24"/>
                <w:szCs w:val="24"/>
                <w:highlight w:val="none"/>
                <w:lang w:val="en-US" w:eastAsia="zh-CN" w:bidi="ar-SA"/>
              </w:rPr>
            </w:pPr>
            <w:r>
              <w:rPr>
                <w:rFonts w:hint="eastAsia" w:ascii="楷体" w:hAnsi="楷体" w:eastAsia="楷体" w:cs="宋体"/>
                <w:spacing w:val="-2"/>
                <w:kern w:val="0"/>
                <w:sz w:val="24"/>
                <w:szCs w:val="24"/>
                <w:highlight w:val="none"/>
                <w:lang w:val="en-US" w:eastAsia="zh-CN" w:bidi="ar-SA"/>
              </w:rPr>
              <w:t>1.80%-2.60%</w:t>
            </w:r>
          </w:p>
        </w:tc>
        <w:tc>
          <w:tcPr>
            <w:tcW w:w="1273" w:type="pct"/>
            <w:vMerge w:val="restart"/>
            <w:noWrap w:val="0"/>
            <w:vAlign w:val="center"/>
          </w:tcPr>
          <w:p>
            <w:pPr>
              <w:keepNext w:val="0"/>
              <w:keepLines w:val="0"/>
              <w:pageBreakBefore w:val="0"/>
              <w:widowControl/>
              <w:kinsoku/>
              <w:wordWrap/>
              <w:overflowPunct/>
              <w:topLinePunct w:val="0"/>
              <w:autoSpaceDE/>
              <w:autoSpaceDN/>
              <w:bidi w:val="0"/>
              <w:adjustRightInd/>
              <w:snapToGrid/>
              <w:jc w:val="center"/>
              <w:textAlignment w:val="center"/>
              <w:rPr>
                <w:rFonts w:hint="eastAsia" w:ascii="楷体" w:hAnsi="楷体" w:eastAsia="楷体" w:cs="宋体"/>
                <w:spacing w:val="-2"/>
                <w:kern w:val="0"/>
                <w:sz w:val="24"/>
                <w:szCs w:val="24"/>
                <w:highlight w:val="none"/>
                <w:lang w:val="en-US" w:eastAsia="zh-CN" w:bidi="ar-SA"/>
              </w:rPr>
            </w:pPr>
            <w:r>
              <w:rPr>
                <w:rFonts w:hint="eastAsia" w:ascii="楷体" w:hAnsi="楷体" w:eastAsia="楷体" w:cs="宋体"/>
                <w:spacing w:val="-2"/>
                <w:kern w:val="0"/>
                <w:sz w:val="24"/>
                <w:szCs w:val="24"/>
                <w:highlight w:val="none"/>
                <w:lang w:val="en-US" w:eastAsia="zh-CN" w:bidi="ar-SA"/>
              </w:rPr>
              <w:t>中债-高信用等级中期票据全价(1年以下)指数收益率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1709" w:type="pct"/>
            <w:noWrap w:val="0"/>
            <w:vAlign w:val="center"/>
          </w:tcPr>
          <w:p>
            <w:pPr>
              <w:keepNext w:val="0"/>
              <w:keepLines w:val="0"/>
              <w:pageBreakBefore w:val="0"/>
              <w:widowControl/>
              <w:kinsoku/>
              <w:wordWrap/>
              <w:overflowPunct/>
              <w:topLinePunct w:val="0"/>
              <w:autoSpaceDE/>
              <w:autoSpaceDN/>
              <w:bidi w:val="0"/>
              <w:adjustRightInd/>
              <w:snapToGrid/>
              <w:jc w:val="center"/>
              <w:textAlignment w:val="center"/>
              <w:rPr>
                <w:rFonts w:hint="eastAsia" w:ascii="楷体" w:hAnsi="楷体" w:eastAsia="楷体" w:cs="宋体"/>
                <w:spacing w:val="-2"/>
                <w:kern w:val="0"/>
                <w:sz w:val="24"/>
                <w:szCs w:val="24"/>
                <w:highlight w:val="none"/>
                <w:lang w:val="en-US" w:eastAsia="zh-CN" w:bidi="ar-SA"/>
              </w:rPr>
            </w:pPr>
            <w:r>
              <w:rPr>
                <w:rFonts w:hint="eastAsia" w:ascii="楷体" w:hAnsi="楷体" w:eastAsia="楷体" w:cs="宋体"/>
                <w:spacing w:val="-2"/>
                <w:kern w:val="0"/>
                <w:sz w:val="24"/>
                <w:szCs w:val="24"/>
                <w:highlight w:val="none"/>
                <w:lang w:val="en-US" w:eastAsia="zh-CN" w:bidi="ar-SA"/>
              </w:rPr>
              <w:t>苏银理财恒源周开放1号D</w:t>
            </w:r>
          </w:p>
        </w:tc>
        <w:tc>
          <w:tcPr>
            <w:tcW w:w="994" w:type="pct"/>
            <w:noWrap w:val="0"/>
            <w:vAlign w:val="center"/>
          </w:tcPr>
          <w:p>
            <w:pPr>
              <w:keepNext w:val="0"/>
              <w:keepLines w:val="0"/>
              <w:pageBreakBefore w:val="0"/>
              <w:widowControl/>
              <w:kinsoku/>
              <w:wordWrap/>
              <w:overflowPunct/>
              <w:topLinePunct w:val="0"/>
              <w:autoSpaceDE/>
              <w:autoSpaceDN/>
              <w:bidi w:val="0"/>
              <w:adjustRightInd/>
              <w:snapToGrid/>
              <w:jc w:val="center"/>
              <w:textAlignment w:val="center"/>
              <w:rPr>
                <w:rFonts w:hint="eastAsia" w:ascii="楷体" w:hAnsi="楷体" w:eastAsia="楷体" w:cs="宋体"/>
                <w:spacing w:val="-2"/>
                <w:kern w:val="0"/>
                <w:sz w:val="24"/>
                <w:szCs w:val="24"/>
                <w:highlight w:val="none"/>
                <w:lang w:val="en-US" w:eastAsia="zh-CN" w:bidi="ar-SA"/>
              </w:rPr>
            </w:pPr>
            <w:r>
              <w:rPr>
                <w:rFonts w:hint="eastAsia" w:ascii="楷体" w:hAnsi="楷体" w:eastAsia="楷体" w:cs="宋体"/>
                <w:spacing w:val="-2"/>
                <w:kern w:val="0"/>
                <w:sz w:val="24"/>
                <w:szCs w:val="24"/>
                <w:highlight w:val="none"/>
                <w:lang w:val="en-US" w:eastAsia="zh-CN" w:bidi="ar-SA"/>
              </w:rPr>
              <w:t>J172411SA79C</w:t>
            </w:r>
          </w:p>
        </w:tc>
        <w:tc>
          <w:tcPr>
            <w:tcW w:w="1022" w:type="pct"/>
            <w:noWrap w:val="0"/>
            <w:vAlign w:val="center"/>
          </w:tcPr>
          <w:p>
            <w:pPr>
              <w:keepNext w:val="0"/>
              <w:keepLines w:val="0"/>
              <w:pageBreakBefore w:val="0"/>
              <w:widowControl/>
              <w:kinsoku/>
              <w:wordWrap/>
              <w:overflowPunct/>
              <w:topLinePunct w:val="0"/>
              <w:autoSpaceDE/>
              <w:autoSpaceDN/>
              <w:bidi w:val="0"/>
              <w:adjustRightInd/>
              <w:snapToGrid/>
              <w:jc w:val="center"/>
              <w:textAlignment w:val="center"/>
              <w:rPr>
                <w:rFonts w:hint="eastAsia" w:ascii="楷体" w:hAnsi="楷体" w:eastAsia="楷体" w:cs="宋体"/>
                <w:spacing w:val="-2"/>
                <w:kern w:val="0"/>
                <w:sz w:val="24"/>
                <w:szCs w:val="24"/>
                <w:highlight w:val="none"/>
                <w:lang w:val="en-US" w:eastAsia="zh-CN" w:bidi="ar-SA"/>
              </w:rPr>
            </w:pPr>
            <w:r>
              <w:rPr>
                <w:rFonts w:hint="eastAsia" w:ascii="楷体" w:hAnsi="楷体" w:eastAsia="楷体" w:cs="宋体"/>
                <w:spacing w:val="-2"/>
                <w:kern w:val="0"/>
                <w:sz w:val="24"/>
                <w:szCs w:val="24"/>
                <w:highlight w:val="none"/>
                <w:lang w:val="en-US" w:eastAsia="zh-CN" w:bidi="ar-SA"/>
              </w:rPr>
              <w:t>1.95%-2.75%</w:t>
            </w:r>
          </w:p>
        </w:tc>
        <w:tc>
          <w:tcPr>
            <w:tcW w:w="1273" w:type="pct"/>
            <w:vMerge w:val="continue"/>
            <w:tcBorders/>
            <w:noWrap w:val="0"/>
            <w:vAlign w:val="center"/>
          </w:tcPr>
          <w:p>
            <w:pPr>
              <w:keepNext w:val="0"/>
              <w:keepLines w:val="0"/>
              <w:pageBreakBefore w:val="0"/>
              <w:widowControl/>
              <w:kinsoku/>
              <w:wordWrap/>
              <w:overflowPunct/>
              <w:topLinePunct w:val="0"/>
              <w:autoSpaceDE/>
              <w:autoSpaceDN/>
              <w:bidi w:val="0"/>
              <w:adjustRightInd/>
              <w:snapToGrid/>
              <w:jc w:val="center"/>
              <w:textAlignment w:val="center"/>
              <w:rPr>
                <w:rFonts w:hint="eastAsia" w:ascii="楷体" w:hAnsi="楷体" w:eastAsia="楷体" w:cs="宋体"/>
                <w:spacing w:val="-2"/>
                <w:kern w:val="0"/>
                <w:sz w:val="24"/>
                <w:szCs w:val="24"/>
                <w:highlight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1709" w:type="pct"/>
            <w:noWrap w:val="0"/>
            <w:vAlign w:val="center"/>
          </w:tcPr>
          <w:p>
            <w:pPr>
              <w:keepNext w:val="0"/>
              <w:keepLines w:val="0"/>
              <w:pageBreakBefore w:val="0"/>
              <w:widowControl/>
              <w:kinsoku/>
              <w:wordWrap/>
              <w:overflowPunct/>
              <w:topLinePunct w:val="0"/>
              <w:autoSpaceDE/>
              <w:autoSpaceDN/>
              <w:bidi w:val="0"/>
              <w:adjustRightInd/>
              <w:snapToGrid/>
              <w:jc w:val="center"/>
              <w:textAlignment w:val="center"/>
              <w:rPr>
                <w:rFonts w:hint="eastAsia" w:ascii="楷体" w:hAnsi="楷体" w:eastAsia="楷体" w:cs="宋体"/>
                <w:spacing w:val="-2"/>
                <w:kern w:val="0"/>
                <w:sz w:val="24"/>
                <w:szCs w:val="24"/>
                <w:highlight w:val="none"/>
                <w:lang w:val="en-US" w:eastAsia="zh-CN" w:bidi="ar-SA"/>
              </w:rPr>
            </w:pPr>
            <w:r>
              <w:rPr>
                <w:rFonts w:hint="eastAsia" w:ascii="楷体" w:hAnsi="楷体" w:eastAsia="楷体" w:cs="宋体"/>
                <w:spacing w:val="-2"/>
                <w:kern w:val="0"/>
                <w:sz w:val="24"/>
                <w:szCs w:val="24"/>
                <w:highlight w:val="none"/>
                <w:lang w:val="en-US" w:eastAsia="zh-CN" w:bidi="ar-SA"/>
              </w:rPr>
              <w:t>苏银理财恒源周开放1号E</w:t>
            </w:r>
          </w:p>
        </w:tc>
        <w:tc>
          <w:tcPr>
            <w:tcW w:w="994" w:type="pct"/>
            <w:noWrap w:val="0"/>
            <w:vAlign w:val="center"/>
          </w:tcPr>
          <w:p>
            <w:pPr>
              <w:keepNext w:val="0"/>
              <w:keepLines w:val="0"/>
              <w:pageBreakBefore w:val="0"/>
              <w:widowControl/>
              <w:kinsoku/>
              <w:wordWrap/>
              <w:overflowPunct/>
              <w:topLinePunct w:val="0"/>
              <w:autoSpaceDE/>
              <w:autoSpaceDN/>
              <w:bidi w:val="0"/>
              <w:adjustRightInd/>
              <w:snapToGrid/>
              <w:jc w:val="center"/>
              <w:textAlignment w:val="center"/>
              <w:rPr>
                <w:rFonts w:hint="eastAsia" w:ascii="楷体" w:hAnsi="楷体" w:eastAsia="楷体" w:cs="宋体"/>
                <w:spacing w:val="-2"/>
                <w:kern w:val="0"/>
                <w:sz w:val="24"/>
                <w:szCs w:val="24"/>
                <w:highlight w:val="none"/>
                <w:lang w:val="en-US" w:eastAsia="zh-CN" w:bidi="ar-SA"/>
              </w:rPr>
            </w:pPr>
            <w:r>
              <w:rPr>
                <w:rFonts w:hint="eastAsia" w:ascii="楷体" w:hAnsi="楷体" w:eastAsia="楷体" w:cs="宋体"/>
                <w:spacing w:val="-2"/>
                <w:kern w:val="0"/>
                <w:sz w:val="24"/>
                <w:szCs w:val="24"/>
                <w:highlight w:val="none"/>
                <w:lang w:val="en-US" w:eastAsia="zh-CN" w:bidi="ar-SA"/>
              </w:rPr>
              <w:t>J02479</w:t>
            </w:r>
          </w:p>
        </w:tc>
        <w:tc>
          <w:tcPr>
            <w:tcW w:w="1022" w:type="pct"/>
            <w:noWrap w:val="0"/>
            <w:vAlign w:val="center"/>
          </w:tcPr>
          <w:p>
            <w:pPr>
              <w:keepNext w:val="0"/>
              <w:keepLines w:val="0"/>
              <w:pageBreakBefore w:val="0"/>
              <w:widowControl/>
              <w:kinsoku/>
              <w:wordWrap/>
              <w:overflowPunct/>
              <w:topLinePunct w:val="0"/>
              <w:autoSpaceDE/>
              <w:autoSpaceDN/>
              <w:bidi w:val="0"/>
              <w:adjustRightInd/>
              <w:snapToGrid/>
              <w:jc w:val="center"/>
              <w:textAlignment w:val="center"/>
              <w:rPr>
                <w:rFonts w:hint="eastAsia" w:ascii="楷体" w:hAnsi="楷体" w:eastAsia="楷体" w:cs="宋体"/>
                <w:spacing w:val="-2"/>
                <w:kern w:val="0"/>
                <w:sz w:val="24"/>
                <w:szCs w:val="24"/>
                <w:highlight w:val="none"/>
                <w:lang w:val="en-US" w:eastAsia="zh-CN" w:bidi="ar-SA"/>
              </w:rPr>
            </w:pPr>
            <w:r>
              <w:rPr>
                <w:rFonts w:hint="eastAsia" w:ascii="楷体" w:hAnsi="楷体" w:eastAsia="楷体" w:cs="宋体"/>
                <w:spacing w:val="-2"/>
                <w:kern w:val="0"/>
                <w:sz w:val="24"/>
                <w:szCs w:val="24"/>
                <w:highlight w:val="none"/>
                <w:lang w:val="en-US" w:eastAsia="zh-CN" w:bidi="ar-SA"/>
              </w:rPr>
              <w:t>2.05%-2.85%</w:t>
            </w:r>
          </w:p>
        </w:tc>
        <w:tc>
          <w:tcPr>
            <w:tcW w:w="1273" w:type="pct"/>
            <w:vMerge w:val="continue"/>
            <w:tcBorders/>
            <w:noWrap w:val="0"/>
            <w:vAlign w:val="center"/>
          </w:tcPr>
          <w:p>
            <w:pPr>
              <w:keepNext w:val="0"/>
              <w:keepLines w:val="0"/>
              <w:pageBreakBefore w:val="0"/>
              <w:widowControl/>
              <w:kinsoku/>
              <w:wordWrap/>
              <w:overflowPunct/>
              <w:topLinePunct w:val="0"/>
              <w:autoSpaceDE/>
              <w:autoSpaceDN/>
              <w:bidi w:val="0"/>
              <w:adjustRightInd/>
              <w:snapToGrid/>
              <w:jc w:val="center"/>
              <w:textAlignment w:val="center"/>
              <w:rPr>
                <w:rFonts w:hint="eastAsia" w:ascii="楷体" w:hAnsi="楷体" w:eastAsia="楷体" w:cs="宋体"/>
                <w:spacing w:val="-2"/>
                <w:kern w:val="0"/>
                <w:sz w:val="24"/>
                <w:szCs w:val="24"/>
                <w:highlight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1709" w:type="pct"/>
            <w:noWrap w:val="0"/>
            <w:vAlign w:val="center"/>
          </w:tcPr>
          <w:p>
            <w:pPr>
              <w:keepNext w:val="0"/>
              <w:keepLines w:val="0"/>
              <w:pageBreakBefore w:val="0"/>
              <w:widowControl/>
              <w:kinsoku/>
              <w:wordWrap/>
              <w:overflowPunct/>
              <w:topLinePunct w:val="0"/>
              <w:autoSpaceDE/>
              <w:autoSpaceDN/>
              <w:bidi w:val="0"/>
              <w:adjustRightInd/>
              <w:snapToGrid/>
              <w:jc w:val="center"/>
              <w:textAlignment w:val="center"/>
              <w:rPr>
                <w:rFonts w:hint="eastAsia" w:ascii="楷体" w:hAnsi="楷体" w:eastAsia="楷体" w:cs="宋体"/>
                <w:spacing w:val="-2"/>
                <w:kern w:val="0"/>
                <w:sz w:val="24"/>
                <w:szCs w:val="24"/>
                <w:highlight w:val="none"/>
                <w:lang w:val="en-US" w:eastAsia="zh-CN" w:bidi="ar-SA"/>
              </w:rPr>
            </w:pPr>
            <w:r>
              <w:rPr>
                <w:rFonts w:hint="eastAsia" w:ascii="楷体" w:hAnsi="楷体" w:eastAsia="楷体" w:cs="宋体"/>
                <w:spacing w:val="-2"/>
                <w:kern w:val="0"/>
                <w:sz w:val="24"/>
                <w:szCs w:val="24"/>
                <w:highlight w:val="none"/>
                <w:lang w:val="en-US" w:eastAsia="zh-CN" w:bidi="ar-SA"/>
              </w:rPr>
              <w:t>苏银理财恒源周开放1号F</w:t>
            </w:r>
          </w:p>
        </w:tc>
        <w:tc>
          <w:tcPr>
            <w:tcW w:w="994" w:type="pct"/>
            <w:noWrap w:val="0"/>
            <w:vAlign w:val="center"/>
          </w:tcPr>
          <w:p>
            <w:pPr>
              <w:keepNext w:val="0"/>
              <w:keepLines w:val="0"/>
              <w:pageBreakBefore w:val="0"/>
              <w:widowControl/>
              <w:kinsoku/>
              <w:wordWrap/>
              <w:overflowPunct/>
              <w:topLinePunct w:val="0"/>
              <w:autoSpaceDE/>
              <w:autoSpaceDN/>
              <w:bidi w:val="0"/>
              <w:adjustRightInd/>
              <w:snapToGrid/>
              <w:jc w:val="center"/>
              <w:textAlignment w:val="center"/>
              <w:rPr>
                <w:rFonts w:hint="eastAsia" w:ascii="楷体" w:hAnsi="楷体" w:eastAsia="楷体" w:cs="宋体"/>
                <w:spacing w:val="-2"/>
                <w:kern w:val="0"/>
                <w:sz w:val="24"/>
                <w:szCs w:val="24"/>
                <w:highlight w:val="none"/>
                <w:lang w:val="en-US" w:eastAsia="zh-CN" w:bidi="ar-SA"/>
              </w:rPr>
            </w:pPr>
            <w:r>
              <w:rPr>
                <w:rFonts w:hint="eastAsia" w:ascii="楷体" w:hAnsi="楷体" w:eastAsia="楷体" w:cs="宋体"/>
                <w:spacing w:val="-2"/>
                <w:kern w:val="0"/>
                <w:sz w:val="24"/>
                <w:szCs w:val="24"/>
                <w:highlight w:val="none"/>
                <w:lang w:val="en-US" w:eastAsia="zh-CN" w:bidi="ar-SA"/>
              </w:rPr>
              <w:t>J01995</w:t>
            </w:r>
          </w:p>
        </w:tc>
        <w:tc>
          <w:tcPr>
            <w:tcW w:w="1022" w:type="pct"/>
            <w:noWrap w:val="0"/>
            <w:vAlign w:val="center"/>
          </w:tcPr>
          <w:p>
            <w:pPr>
              <w:keepNext w:val="0"/>
              <w:keepLines w:val="0"/>
              <w:pageBreakBefore w:val="0"/>
              <w:widowControl/>
              <w:kinsoku/>
              <w:wordWrap/>
              <w:overflowPunct/>
              <w:topLinePunct w:val="0"/>
              <w:autoSpaceDE/>
              <w:autoSpaceDN/>
              <w:bidi w:val="0"/>
              <w:adjustRightInd/>
              <w:snapToGrid/>
              <w:jc w:val="center"/>
              <w:textAlignment w:val="center"/>
              <w:rPr>
                <w:rFonts w:hint="eastAsia" w:ascii="楷体" w:hAnsi="楷体" w:eastAsia="楷体" w:cs="宋体"/>
                <w:spacing w:val="-2"/>
                <w:kern w:val="0"/>
                <w:sz w:val="24"/>
                <w:szCs w:val="24"/>
                <w:highlight w:val="none"/>
                <w:lang w:val="en-US" w:eastAsia="zh-CN" w:bidi="ar-SA"/>
              </w:rPr>
            </w:pPr>
            <w:r>
              <w:rPr>
                <w:rFonts w:hint="eastAsia" w:ascii="楷体" w:hAnsi="楷体" w:eastAsia="楷体" w:cs="宋体"/>
                <w:spacing w:val="-2"/>
                <w:kern w:val="0"/>
                <w:sz w:val="24"/>
                <w:szCs w:val="24"/>
                <w:highlight w:val="none"/>
                <w:lang w:val="en-US" w:eastAsia="zh-CN" w:bidi="ar-SA"/>
              </w:rPr>
              <w:t>1.60%-2.50%</w:t>
            </w:r>
          </w:p>
        </w:tc>
        <w:tc>
          <w:tcPr>
            <w:tcW w:w="1273" w:type="pct"/>
            <w:vMerge w:val="continue"/>
            <w:tcBorders/>
            <w:noWrap w:val="0"/>
            <w:vAlign w:val="center"/>
          </w:tcPr>
          <w:p>
            <w:pPr>
              <w:keepNext w:val="0"/>
              <w:keepLines w:val="0"/>
              <w:pageBreakBefore w:val="0"/>
              <w:widowControl/>
              <w:kinsoku/>
              <w:wordWrap/>
              <w:overflowPunct/>
              <w:topLinePunct w:val="0"/>
              <w:autoSpaceDE/>
              <w:autoSpaceDN/>
              <w:bidi w:val="0"/>
              <w:adjustRightInd/>
              <w:snapToGrid/>
              <w:jc w:val="center"/>
              <w:textAlignment w:val="center"/>
              <w:rPr>
                <w:rFonts w:hint="eastAsia" w:ascii="楷体" w:hAnsi="楷体" w:eastAsia="楷体" w:cs="宋体"/>
                <w:spacing w:val="-2"/>
                <w:kern w:val="0"/>
                <w:sz w:val="24"/>
                <w:szCs w:val="24"/>
                <w:highlight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1709" w:type="pct"/>
            <w:noWrap w:val="0"/>
            <w:vAlign w:val="center"/>
          </w:tcPr>
          <w:p>
            <w:pPr>
              <w:keepNext w:val="0"/>
              <w:keepLines w:val="0"/>
              <w:pageBreakBefore w:val="0"/>
              <w:widowControl/>
              <w:kinsoku/>
              <w:wordWrap/>
              <w:overflowPunct/>
              <w:topLinePunct w:val="0"/>
              <w:autoSpaceDE/>
              <w:autoSpaceDN/>
              <w:bidi w:val="0"/>
              <w:adjustRightInd/>
              <w:snapToGrid/>
              <w:jc w:val="center"/>
              <w:textAlignment w:val="center"/>
              <w:rPr>
                <w:rFonts w:hint="eastAsia" w:ascii="楷体" w:hAnsi="楷体" w:eastAsia="楷体" w:cs="宋体"/>
                <w:spacing w:val="-2"/>
                <w:kern w:val="0"/>
                <w:sz w:val="24"/>
                <w:szCs w:val="24"/>
                <w:highlight w:val="none"/>
                <w:lang w:val="en-US" w:eastAsia="zh-CN" w:bidi="ar-SA"/>
              </w:rPr>
            </w:pPr>
            <w:r>
              <w:rPr>
                <w:rFonts w:hint="eastAsia" w:ascii="楷体" w:hAnsi="楷体" w:eastAsia="楷体" w:cs="宋体"/>
                <w:spacing w:val="-2"/>
                <w:kern w:val="0"/>
                <w:sz w:val="24"/>
                <w:szCs w:val="24"/>
                <w:highlight w:val="none"/>
                <w:lang w:val="en-US" w:eastAsia="zh-CN" w:bidi="ar-SA"/>
              </w:rPr>
              <w:t>苏银理财恒源周开放1号G</w:t>
            </w:r>
          </w:p>
        </w:tc>
        <w:tc>
          <w:tcPr>
            <w:tcW w:w="994" w:type="pct"/>
            <w:noWrap w:val="0"/>
            <w:vAlign w:val="center"/>
          </w:tcPr>
          <w:p>
            <w:pPr>
              <w:keepNext w:val="0"/>
              <w:keepLines w:val="0"/>
              <w:pageBreakBefore w:val="0"/>
              <w:widowControl/>
              <w:kinsoku/>
              <w:wordWrap/>
              <w:overflowPunct/>
              <w:topLinePunct w:val="0"/>
              <w:autoSpaceDE/>
              <w:autoSpaceDN/>
              <w:bidi w:val="0"/>
              <w:adjustRightInd/>
              <w:snapToGrid/>
              <w:jc w:val="center"/>
              <w:textAlignment w:val="center"/>
              <w:rPr>
                <w:rFonts w:hint="eastAsia" w:ascii="楷体" w:hAnsi="楷体" w:eastAsia="楷体" w:cs="宋体"/>
                <w:spacing w:val="-2"/>
                <w:kern w:val="0"/>
                <w:sz w:val="24"/>
                <w:szCs w:val="24"/>
                <w:highlight w:val="none"/>
                <w:lang w:val="en-US" w:eastAsia="zh-CN" w:bidi="ar-SA"/>
              </w:rPr>
            </w:pPr>
            <w:r>
              <w:rPr>
                <w:rFonts w:hint="eastAsia" w:ascii="楷体" w:hAnsi="楷体" w:eastAsia="楷体" w:cs="宋体"/>
                <w:spacing w:val="-2"/>
                <w:kern w:val="0"/>
                <w:sz w:val="24"/>
                <w:szCs w:val="24"/>
                <w:highlight w:val="none"/>
                <w:lang w:val="en-US" w:eastAsia="zh-CN" w:bidi="ar-SA"/>
              </w:rPr>
              <w:t>J02462</w:t>
            </w:r>
          </w:p>
        </w:tc>
        <w:tc>
          <w:tcPr>
            <w:tcW w:w="1022" w:type="pct"/>
            <w:noWrap w:val="0"/>
            <w:vAlign w:val="center"/>
          </w:tcPr>
          <w:p>
            <w:pPr>
              <w:keepNext w:val="0"/>
              <w:keepLines w:val="0"/>
              <w:pageBreakBefore w:val="0"/>
              <w:widowControl/>
              <w:kinsoku/>
              <w:wordWrap/>
              <w:overflowPunct/>
              <w:topLinePunct w:val="0"/>
              <w:autoSpaceDE/>
              <w:autoSpaceDN/>
              <w:bidi w:val="0"/>
              <w:adjustRightInd/>
              <w:snapToGrid/>
              <w:jc w:val="center"/>
              <w:textAlignment w:val="center"/>
              <w:rPr>
                <w:rFonts w:hint="eastAsia" w:ascii="楷体" w:hAnsi="楷体" w:eastAsia="楷体" w:cs="宋体"/>
                <w:spacing w:val="-2"/>
                <w:kern w:val="0"/>
                <w:sz w:val="24"/>
                <w:szCs w:val="24"/>
                <w:highlight w:val="none"/>
                <w:lang w:val="en-US" w:eastAsia="zh-CN" w:bidi="ar-SA"/>
              </w:rPr>
            </w:pPr>
            <w:r>
              <w:rPr>
                <w:rFonts w:hint="eastAsia" w:ascii="楷体" w:hAnsi="楷体" w:eastAsia="楷体" w:cs="宋体"/>
                <w:spacing w:val="-2"/>
                <w:kern w:val="0"/>
                <w:sz w:val="24"/>
                <w:szCs w:val="24"/>
                <w:highlight w:val="none"/>
                <w:lang w:val="en-US" w:eastAsia="zh-CN" w:bidi="ar-SA"/>
              </w:rPr>
              <w:t>1.70%-2.60%</w:t>
            </w:r>
          </w:p>
        </w:tc>
        <w:tc>
          <w:tcPr>
            <w:tcW w:w="1273" w:type="pct"/>
            <w:vMerge w:val="continue"/>
            <w:tcBorders/>
            <w:noWrap w:val="0"/>
            <w:vAlign w:val="center"/>
          </w:tcPr>
          <w:p>
            <w:pPr>
              <w:keepNext w:val="0"/>
              <w:keepLines w:val="0"/>
              <w:pageBreakBefore w:val="0"/>
              <w:widowControl/>
              <w:kinsoku/>
              <w:wordWrap/>
              <w:overflowPunct/>
              <w:topLinePunct w:val="0"/>
              <w:autoSpaceDE/>
              <w:autoSpaceDN/>
              <w:bidi w:val="0"/>
              <w:adjustRightInd/>
              <w:snapToGrid/>
              <w:jc w:val="center"/>
              <w:textAlignment w:val="center"/>
              <w:rPr>
                <w:rFonts w:hint="eastAsia" w:ascii="楷体" w:hAnsi="楷体" w:eastAsia="楷体" w:cs="宋体"/>
                <w:spacing w:val="-2"/>
                <w:kern w:val="0"/>
                <w:sz w:val="24"/>
                <w:szCs w:val="24"/>
                <w:highlight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1709" w:type="pct"/>
            <w:noWrap w:val="0"/>
            <w:vAlign w:val="center"/>
          </w:tcPr>
          <w:p>
            <w:pPr>
              <w:keepNext w:val="0"/>
              <w:keepLines w:val="0"/>
              <w:pageBreakBefore w:val="0"/>
              <w:widowControl/>
              <w:kinsoku/>
              <w:wordWrap/>
              <w:overflowPunct/>
              <w:topLinePunct w:val="0"/>
              <w:autoSpaceDE/>
              <w:autoSpaceDN/>
              <w:bidi w:val="0"/>
              <w:adjustRightInd/>
              <w:snapToGrid/>
              <w:jc w:val="center"/>
              <w:textAlignment w:val="center"/>
              <w:rPr>
                <w:rFonts w:hint="eastAsia" w:ascii="楷体" w:hAnsi="楷体" w:eastAsia="楷体" w:cs="宋体"/>
                <w:spacing w:val="-2"/>
                <w:kern w:val="0"/>
                <w:sz w:val="24"/>
                <w:szCs w:val="24"/>
                <w:highlight w:val="none"/>
                <w:lang w:val="en-US" w:eastAsia="zh-CN" w:bidi="ar-SA"/>
              </w:rPr>
            </w:pPr>
            <w:r>
              <w:rPr>
                <w:rFonts w:hint="eastAsia" w:ascii="楷体" w:hAnsi="楷体" w:eastAsia="楷体" w:cs="宋体"/>
                <w:spacing w:val="-2"/>
                <w:kern w:val="0"/>
                <w:sz w:val="24"/>
                <w:szCs w:val="24"/>
                <w:highlight w:val="none"/>
                <w:lang w:val="en-US" w:eastAsia="zh-CN" w:bidi="ar-SA"/>
              </w:rPr>
              <w:t>苏银理财恒源周开放1号H</w:t>
            </w:r>
          </w:p>
        </w:tc>
        <w:tc>
          <w:tcPr>
            <w:tcW w:w="994" w:type="pct"/>
            <w:noWrap w:val="0"/>
            <w:vAlign w:val="center"/>
          </w:tcPr>
          <w:p>
            <w:pPr>
              <w:keepNext w:val="0"/>
              <w:keepLines w:val="0"/>
              <w:pageBreakBefore w:val="0"/>
              <w:widowControl/>
              <w:kinsoku/>
              <w:wordWrap/>
              <w:overflowPunct/>
              <w:topLinePunct w:val="0"/>
              <w:autoSpaceDE/>
              <w:autoSpaceDN/>
              <w:bidi w:val="0"/>
              <w:adjustRightInd/>
              <w:snapToGrid/>
              <w:jc w:val="center"/>
              <w:textAlignment w:val="center"/>
              <w:rPr>
                <w:rFonts w:hint="eastAsia" w:ascii="楷体" w:hAnsi="楷体" w:eastAsia="楷体" w:cs="宋体"/>
                <w:spacing w:val="-2"/>
                <w:kern w:val="0"/>
                <w:sz w:val="24"/>
                <w:szCs w:val="24"/>
                <w:highlight w:val="none"/>
                <w:lang w:val="en-US" w:eastAsia="zh-CN" w:bidi="ar-SA"/>
              </w:rPr>
            </w:pPr>
            <w:r>
              <w:rPr>
                <w:rFonts w:hint="eastAsia" w:ascii="楷体" w:hAnsi="楷体" w:eastAsia="楷体" w:cs="宋体"/>
                <w:spacing w:val="-2"/>
                <w:kern w:val="0"/>
                <w:sz w:val="24"/>
                <w:szCs w:val="24"/>
                <w:highlight w:val="none"/>
                <w:lang w:val="en-US" w:eastAsia="zh-CN" w:bidi="ar-SA"/>
              </w:rPr>
              <w:t>J10844</w:t>
            </w:r>
          </w:p>
        </w:tc>
        <w:tc>
          <w:tcPr>
            <w:tcW w:w="1022" w:type="pct"/>
            <w:noWrap w:val="0"/>
            <w:vAlign w:val="center"/>
          </w:tcPr>
          <w:p>
            <w:pPr>
              <w:keepNext w:val="0"/>
              <w:keepLines w:val="0"/>
              <w:pageBreakBefore w:val="0"/>
              <w:widowControl/>
              <w:kinsoku/>
              <w:wordWrap/>
              <w:overflowPunct/>
              <w:topLinePunct w:val="0"/>
              <w:autoSpaceDE/>
              <w:autoSpaceDN/>
              <w:bidi w:val="0"/>
              <w:adjustRightInd/>
              <w:snapToGrid/>
              <w:jc w:val="center"/>
              <w:textAlignment w:val="center"/>
              <w:rPr>
                <w:rFonts w:hint="eastAsia" w:ascii="楷体" w:hAnsi="楷体" w:eastAsia="楷体" w:cs="宋体"/>
                <w:spacing w:val="-2"/>
                <w:kern w:val="0"/>
                <w:sz w:val="24"/>
                <w:szCs w:val="24"/>
                <w:highlight w:val="none"/>
                <w:lang w:val="en-US" w:eastAsia="zh-CN" w:bidi="ar-SA"/>
              </w:rPr>
            </w:pPr>
            <w:r>
              <w:rPr>
                <w:rFonts w:hint="eastAsia" w:ascii="楷体" w:hAnsi="楷体" w:eastAsia="楷体" w:cs="宋体"/>
                <w:spacing w:val="-2"/>
                <w:kern w:val="0"/>
                <w:sz w:val="24"/>
                <w:szCs w:val="24"/>
                <w:highlight w:val="none"/>
                <w:lang w:val="en-US" w:eastAsia="zh-CN" w:bidi="ar-SA"/>
              </w:rPr>
              <w:t>1.60%-2.50%</w:t>
            </w:r>
          </w:p>
        </w:tc>
        <w:tc>
          <w:tcPr>
            <w:tcW w:w="1273" w:type="pct"/>
            <w:vMerge w:val="continue"/>
            <w:tcBorders/>
            <w:noWrap w:val="0"/>
            <w:vAlign w:val="center"/>
          </w:tcPr>
          <w:p>
            <w:pPr>
              <w:keepNext w:val="0"/>
              <w:keepLines w:val="0"/>
              <w:pageBreakBefore w:val="0"/>
              <w:widowControl/>
              <w:kinsoku/>
              <w:wordWrap/>
              <w:overflowPunct/>
              <w:topLinePunct w:val="0"/>
              <w:autoSpaceDE/>
              <w:autoSpaceDN/>
              <w:bidi w:val="0"/>
              <w:adjustRightInd/>
              <w:snapToGrid/>
              <w:jc w:val="center"/>
              <w:textAlignment w:val="center"/>
              <w:rPr>
                <w:rFonts w:hint="eastAsia" w:ascii="楷体" w:hAnsi="楷体" w:eastAsia="楷体" w:cs="宋体"/>
                <w:spacing w:val="-2"/>
                <w:kern w:val="0"/>
                <w:sz w:val="24"/>
                <w:szCs w:val="24"/>
                <w:highlight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1709" w:type="pct"/>
            <w:noWrap w:val="0"/>
            <w:vAlign w:val="center"/>
          </w:tcPr>
          <w:p>
            <w:pPr>
              <w:keepNext w:val="0"/>
              <w:keepLines w:val="0"/>
              <w:pageBreakBefore w:val="0"/>
              <w:widowControl/>
              <w:kinsoku/>
              <w:wordWrap/>
              <w:overflowPunct/>
              <w:topLinePunct w:val="0"/>
              <w:autoSpaceDE/>
              <w:autoSpaceDN/>
              <w:bidi w:val="0"/>
              <w:adjustRightInd/>
              <w:snapToGrid/>
              <w:jc w:val="center"/>
              <w:textAlignment w:val="center"/>
              <w:rPr>
                <w:rFonts w:hint="eastAsia" w:ascii="楷体" w:hAnsi="楷体" w:eastAsia="楷体" w:cs="宋体"/>
                <w:spacing w:val="-2"/>
                <w:kern w:val="0"/>
                <w:sz w:val="24"/>
                <w:szCs w:val="24"/>
                <w:highlight w:val="none"/>
                <w:lang w:val="en-US" w:eastAsia="zh-CN" w:bidi="ar-SA"/>
              </w:rPr>
            </w:pPr>
            <w:r>
              <w:rPr>
                <w:rFonts w:hint="eastAsia" w:ascii="楷体" w:hAnsi="楷体" w:eastAsia="楷体" w:cs="宋体"/>
                <w:spacing w:val="-2"/>
                <w:kern w:val="0"/>
                <w:sz w:val="24"/>
                <w:szCs w:val="24"/>
                <w:highlight w:val="none"/>
                <w:lang w:val="en-US" w:eastAsia="zh-CN" w:bidi="ar-SA"/>
              </w:rPr>
              <w:t>苏银理财恒源周开放1号W</w:t>
            </w:r>
          </w:p>
        </w:tc>
        <w:tc>
          <w:tcPr>
            <w:tcW w:w="994" w:type="pct"/>
            <w:noWrap w:val="0"/>
            <w:vAlign w:val="center"/>
          </w:tcPr>
          <w:p>
            <w:pPr>
              <w:keepNext w:val="0"/>
              <w:keepLines w:val="0"/>
              <w:pageBreakBefore w:val="0"/>
              <w:widowControl/>
              <w:kinsoku/>
              <w:wordWrap/>
              <w:overflowPunct/>
              <w:topLinePunct w:val="0"/>
              <w:autoSpaceDE/>
              <w:autoSpaceDN/>
              <w:bidi w:val="0"/>
              <w:adjustRightInd/>
              <w:snapToGrid/>
              <w:jc w:val="center"/>
              <w:textAlignment w:val="center"/>
              <w:rPr>
                <w:rFonts w:hint="eastAsia" w:ascii="楷体" w:hAnsi="楷体" w:eastAsia="楷体" w:cs="宋体"/>
                <w:spacing w:val="-2"/>
                <w:kern w:val="0"/>
                <w:sz w:val="24"/>
                <w:szCs w:val="24"/>
                <w:highlight w:val="none"/>
                <w:lang w:val="en-US" w:eastAsia="zh-CN" w:bidi="ar-SA"/>
              </w:rPr>
            </w:pPr>
            <w:r>
              <w:rPr>
                <w:rFonts w:hint="eastAsia" w:ascii="楷体" w:hAnsi="楷体" w:eastAsia="楷体" w:cs="宋体"/>
                <w:spacing w:val="-2"/>
                <w:kern w:val="0"/>
                <w:sz w:val="24"/>
                <w:szCs w:val="24"/>
                <w:highlight w:val="none"/>
                <w:lang w:val="en-US" w:eastAsia="zh-CN" w:bidi="ar-SA"/>
              </w:rPr>
              <w:t>J02568</w:t>
            </w:r>
          </w:p>
        </w:tc>
        <w:tc>
          <w:tcPr>
            <w:tcW w:w="1022" w:type="pct"/>
            <w:noWrap w:val="0"/>
            <w:vAlign w:val="center"/>
          </w:tcPr>
          <w:p>
            <w:pPr>
              <w:keepNext w:val="0"/>
              <w:keepLines w:val="0"/>
              <w:pageBreakBefore w:val="0"/>
              <w:widowControl/>
              <w:kinsoku/>
              <w:wordWrap/>
              <w:overflowPunct/>
              <w:topLinePunct w:val="0"/>
              <w:autoSpaceDE/>
              <w:autoSpaceDN/>
              <w:bidi w:val="0"/>
              <w:adjustRightInd/>
              <w:snapToGrid/>
              <w:jc w:val="center"/>
              <w:textAlignment w:val="center"/>
              <w:rPr>
                <w:rFonts w:hint="eastAsia" w:ascii="楷体" w:hAnsi="楷体" w:eastAsia="楷体" w:cs="宋体"/>
                <w:spacing w:val="-2"/>
                <w:kern w:val="0"/>
                <w:sz w:val="24"/>
                <w:szCs w:val="24"/>
                <w:highlight w:val="none"/>
                <w:lang w:val="en-US" w:eastAsia="zh-CN" w:bidi="ar-SA"/>
              </w:rPr>
            </w:pPr>
            <w:r>
              <w:rPr>
                <w:rFonts w:hint="eastAsia" w:ascii="楷体" w:hAnsi="楷体" w:eastAsia="楷体" w:cs="宋体"/>
                <w:spacing w:val="-2"/>
                <w:kern w:val="0"/>
                <w:sz w:val="24"/>
                <w:szCs w:val="24"/>
                <w:highlight w:val="none"/>
                <w:lang w:val="en-US" w:eastAsia="zh-CN" w:bidi="ar-SA"/>
              </w:rPr>
              <w:t>1.50%-2.40%</w:t>
            </w:r>
          </w:p>
        </w:tc>
        <w:tc>
          <w:tcPr>
            <w:tcW w:w="1273" w:type="pct"/>
            <w:vMerge w:val="continue"/>
            <w:tcBorders/>
            <w:noWrap w:val="0"/>
            <w:vAlign w:val="center"/>
          </w:tcPr>
          <w:p>
            <w:pPr>
              <w:keepNext w:val="0"/>
              <w:keepLines w:val="0"/>
              <w:pageBreakBefore w:val="0"/>
              <w:widowControl/>
              <w:kinsoku/>
              <w:wordWrap/>
              <w:overflowPunct/>
              <w:topLinePunct w:val="0"/>
              <w:autoSpaceDE/>
              <w:autoSpaceDN/>
              <w:bidi w:val="0"/>
              <w:adjustRightInd/>
              <w:snapToGrid/>
              <w:jc w:val="center"/>
              <w:textAlignment w:val="center"/>
              <w:rPr>
                <w:rFonts w:hint="eastAsia" w:ascii="楷体" w:hAnsi="楷体" w:eastAsia="楷体" w:cs="宋体"/>
                <w:spacing w:val="-2"/>
                <w:kern w:val="0"/>
                <w:sz w:val="24"/>
                <w:szCs w:val="24"/>
                <w:highlight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1709" w:type="pct"/>
            <w:noWrap w:val="0"/>
            <w:vAlign w:val="center"/>
          </w:tcPr>
          <w:p>
            <w:pPr>
              <w:keepNext w:val="0"/>
              <w:keepLines w:val="0"/>
              <w:pageBreakBefore w:val="0"/>
              <w:widowControl/>
              <w:kinsoku/>
              <w:wordWrap/>
              <w:overflowPunct/>
              <w:topLinePunct w:val="0"/>
              <w:autoSpaceDE/>
              <w:autoSpaceDN/>
              <w:bidi w:val="0"/>
              <w:adjustRightInd/>
              <w:snapToGrid/>
              <w:jc w:val="center"/>
              <w:textAlignment w:val="center"/>
              <w:rPr>
                <w:rFonts w:hint="eastAsia" w:ascii="楷体" w:hAnsi="楷体" w:eastAsia="楷体" w:cs="宋体"/>
                <w:spacing w:val="-2"/>
                <w:kern w:val="0"/>
                <w:sz w:val="24"/>
                <w:szCs w:val="24"/>
                <w:highlight w:val="none"/>
                <w:lang w:val="en-US" w:eastAsia="zh-CN" w:bidi="ar-SA"/>
              </w:rPr>
            </w:pPr>
            <w:r>
              <w:rPr>
                <w:rFonts w:hint="eastAsia" w:ascii="楷体" w:hAnsi="楷体" w:eastAsia="楷体" w:cs="宋体"/>
                <w:spacing w:val="-2"/>
                <w:kern w:val="0"/>
                <w:sz w:val="24"/>
                <w:szCs w:val="24"/>
                <w:highlight w:val="none"/>
                <w:lang w:val="en-US" w:eastAsia="zh-CN" w:bidi="ar-SA"/>
              </w:rPr>
              <w:t>苏银理财恒源周开放1号（代发专享）</w:t>
            </w:r>
          </w:p>
        </w:tc>
        <w:tc>
          <w:tcPr>
            <w:tcW w:w="994" w:type="pct"/>
            <w:noWrap w:val="0"/>
            <w:vAlign w:val="center"/>
          </w:tcPr>
          <w:p>
            <w:pPr>
              <w:keepNext w:val="0"/>
              <w:keepLines w:val="0"/>
              <w:pageBreakBefore w:val="0"/>
              <w:widowControl/>
              <w:kinsoku/>
              <w:wordWrap/>
              <w:overflowPunct/>
              <w:topLinePunct w:val="0"/>
              <w:autoSpaceDE/>
              <w:autoSpaceDN/>
              <w:bidi w:val="0"/>
              <w:adjustRightInd/>
              <w:snapToGrid/>
              <w:jc w:val="center"/>
              <w:textAlignment w:val="center"/>
              <w:rPr>
                <w:rFonts w:hint="eastAsia" w:ascii="楷体" w:hAnsi="楷体" w:eastAsia="楷体" w:cs="宋体"/>
                <w:spacing w:val="-2"/>
                <w:kern w:val="0"/>
                <w:sz w:val="24"/>
                <w:szCs w:val="24"/>
                <w:highlight w:val="none"/>
                <w:lang w:val="en-US" w:eastAsia="zh-CN" w:bidi="ar-SA"/>
              </w:rPr>
            </w:pPr>
            <w:r>
              <w:rPr>
                <w:rFonts w:hint="eastAsia" w:ascii="楷体" w:hAnsi="楷体" w:eastAsia="楷体" w:cs="宋体"/>
                <w:spacing w:val="-2"/>
                <w:kern w:val="0"/>
                <w:sz w:val="24"/>
                <w:szCs w:val="24"/>
                <w:highlight w:val="none"/>
                <w:lang w:val="en-US" w:eastAsia="zh-CN" w:bidi="ar-SA"/>
              </w:rPr>
              <w:t>J172411SA79B</w:t>
            </w:r>
          </w:p>
        </w:tc>
        <w:tc>
          <w:tcPr>
            <w:tcW w:w="1022" w:type="pct"/>
            <w:noWrap w:val="0"/>
            <w:vAlign w:val="center"/>
          </w:tcPr>
          <w:p>
            <w:pPr>
              <w:keepNext w:val="0"/>
              <w:keepLines w:val="0"/>
              <w:pageBreakBefore w:val="0"/>
              <w:widowControl/>
              <w:kinsoku/>
              <w:wordWrap/>
              <w:overflowPunct/>
              <w:topLinePunct w:val="0"/>
              <w:autoSpaceDE/>
              <w:autoSpaceDN/>
              <w:bidi w:val="0"/>
              <w:adjustRightInd/>
              <w:snapToGrid/>
              <w:jc w:val="center"/>
              <w:textAlignment w:val="center"/>
              <w:rPr>
                <w:rFonts w:hint="eastAsia" w:ascii="楷体" w:hAnsi="楷体" w:eastAsia="楷体" w:cs="宋体"/>
                <w:spacing w:val="-2"/>
                <w:kern w:val="0"/>
                <w:sz w:val="24"/>
                <w:szCs w:val="24"/>
                <w:highlight w:val="none"/>
                <w:lang w:val="en-US" w:eastAsia="zh-CN" w:bidi="ar-SA"/>
              </w:rPr>
            </w:pPr>
            <w:r>
              <w:rPr>
                <w:rFonts w:hint="eastAsia" w:ascii="楷体" w:hAnsi="楷体" w:eastAsia="楷体" w:cs="宋体"/>
                <w:spacing w:val="-2"/>
                <w:kern w:val="0"/>
                <w:sz w:val="24"/>
                <w:szCs w:val="24"/>
                <w:highlight w:val="none"/>
                <w:lang w:val="en-US" w:eastAsia="zh-CN" w:bidi="ar-SA"/>
              </w:rPr>
              <w:t>1.85%-2.65%</w:t>
            </w:r>
          </w:p>
        </w:tc>
        <w:tc>
          <w:tcPr>
            <w:tcW w:w="1273" w:type="pct"/>
            <w:vMerge w:val="continue"/>
            <w:tcBorders/>
            <w:noWrap w:val="0"/>
            <w:vAlign w:val="center"/>
          </w:tcPr>
          <w:p>
            <w:pPr>
              <w:keepNext w:val="0"/>
              <w:keepLines w:val="0"/>
              <w:pageBreakBefore w:val="0"/>
              <w:widowControl/>
              <w:kinsoku/>
              <w:wordWrap/>
              <w:overflowPunct/>
              <w:topLinePunct w:val="0"/>
              <w:autoSpaceDE/>
              <w:autoSpaceDN/>
              <w:bidi w:val="0"/>
              <w:adjustRightInd/>
              <w:snapToGrid/>
              <w:jc w:val="center"/>
              <w:textAlignment w:val="center"/>
              <w:rPr>
                <w:rFonts w:hint="eastAsia" w:ascii="楷体" w:hAnsi="楷体" w:eastAsia="楷体" w:cs="宋体"/>
                <w:spacing w:val="-2"/>
                <w:kern w:val="0"/>
                <w:sz w:val="24"/>
                <w:szCs w:val="24"/>
                <w:highlight w:val="none"/>
                <w:lang w:val="en-US" w:eastAsia="zh-CN" w:bidi="ar-SA"/>
              </w:rPr>
            </w:pPr>
          </w:p>
        </w:tc>
      </w:tr>
      <w:bookmarkEnd w:id="0"/>
    </w:tbl>
    <w:p>
      <w:pPr>
        <w:pStyle w:val="11"/>
        <w:numPr>
          <w:ilvl w:val="0"/>
          <w:numId w:val="1"/>
        </w:numPr>
        <w:spacing w:before="0" w:beforeAutospacing="0" w:after="0" w:afterAutospacing="0" w:line="480" w:lineRule="auto"/>
        <w:ind w:firstLine="562" w:firstLineChars="200"/>
        <w:rPr>
          <w:rFonts w:hint="default" w:ascii="楷体" w:hAnsi="楷体" w:eastAsia="楷体" w:cs="Times New Roman"/>
          <w:b/>
          <w:bCs/>
          <w:sz w:val="28"/>
          <w:szCs w:val="28"/>
          <w:lang w:val="en-US" w:eastAsia="zh-CN"/>
        </w:rPr>
      </w:pPr>
      <w:r>
        <w:rPr>
          <w:rFonts w:hint="eastAsia" w:ascii="楷体" w:hAnsi="楷体" w:eastAsia="楷体" w:cs="Times New Roman"/>
          <w:b/>
          <w:bCs/>
          <w:sz w:val="28"/>
          <w:szCs w:val="28"/>
          <w:lang w:val="en-US" w:eastAsia="zh-CN"/>
        </w:rPr>
        <w:t>说明书费用调整</w:t>
      </w:r>
    </w:p>
    <w:p>
      <w:pPr>
        <w:pStyle w:val="11"/>
        <w:spacing w:before="0" w:beforeAutospacing="0" w:after="312" w:afterLines="100" w:afterAutospacing="0" w:line="480" w:lineRule="auto"/>
        <w:ind w:firstLine="560" w:firstLineChars="200"/>
        <w:rPr>
          <w:rFonts w:hint="eastAsia" w:ascii="楷体" w:hAnsi="楷体" w:eastAsia="楷体" w:cs="Times New Roman"/>
          <w:sz w:val="28"/>
          <w:szCs w:val="28"/>
          <w:lang w:val="en-US" w:eastAsia="zh-CN"/>
        </w:rPr>
      </w:pPr>
      <w:r>
        <w:rPr>
          <w:rFonts w:hint="eastAsia" w:ascii="楷体" w:hAnsi="楷体" w:eastAsia="楷体" w:cs="Times New Roman"/>
          <w:sz w:val="28"/>
          <w:szCs w:val="28"/>
          <w:lang w:val="en-US" w:eastAsia="zh-CN"/>
        </w:rPr>
        <w:t>管理人拟对“苏银理财恒源周开放1号F”份额说明书费用进行调整，具体如下：</w:t>
      </w:r>
    </w:p>
    <w:tbl>
      <w:tblPr>
        <w:tblStyle w:val="14"/>
        <w:tblW w:w="9250" w:type="dxa"/>
        <w:tblInd w:w="-28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00"/>
        <w:gridCol w:w="1684"/>
        <w:gridCol w:w="2350"/>
        <w:gridCol w:w="26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4" w:hRule="atLeast"/>
        </w:trPr>
        <w:tc>
          <w:tcPr>
            <w:tcW w:w="2600" w:type="dxa"/>
            <w:noWrap w:val="0"/>
            <w:vAlign w:val="center"/>
          </w:tcPr>
          <w:p>
            <w:pPr>
              <w:pStyle w:val="11"/>
              <w:spacing w:before="0" w:beforeAutospacing="0" w:after="0" w:afterAutospacing="0" w:line="480" w:lineRule="auto"/>
              <w:jc w:val="center"/>
              <w:rPr>
                <w:rFonts w:hint="default" w:ascii="楷体" w:hAnsi="楷体" w:eastAsia="楷体" w:cs="Times New Roman"/>
                <w:b/>
                <w:bCs/>
                <w:sz w:val="24"/>
                <w:szCs w:val="24"/>
                <w:vertAlign w:val="baseline"/>
                <w:lang w:val="en-US" w:eastAsia="zh-CN"/>
              </w:rPr>
            </w:pPr>
            <w:r>
              <w:rPr>
                <w:rFonts w:hint="eastAsia" w:ascii="楷体" w:hAnsi="楷体" w:eastAsia="楷体" w:cs="Times New Roman"/>
                <w:b/>
                <w:bCs/>
                <w:sz w:val="24"/>
                <w:szCs w:val="24"/>
                <w:lang w:val="en-US" w:eastAsia="zh-CN"/>
              </w:rPr>
              <w:t>销售简称</w:t>
            </w:r>
          </w:p>
        </w:tc>
        <w:tc>
          <w:tcPr>
            <w:tcW w:w="1684" w:type="dxa"/>
            <w:noWrap w:val="0"/>
            <w:vAlign w:val="center"/>
          </w:tcPr>
          <w:p>
            <w:pPr>
              <w:pStyle w:val="11"/>
              <w:spacing w:before="0" w:beforeAutospacing="0" w:after="0" w:afterAutospacing="0" w:line="480" w:lineRule="auto"/>
              <w:jc w:val="center"/>
              <w:rPr>
                <w:rFonts w:hint="default" w:ascii="楷体" w:hAnsi="楷体" w:eastAsia="楷体" w:cs="Times New Roman"/>
                <w:b/>
                <w:bCs/>
                <w:sz w:val="24"/>
                <w:szCs w:val="24"/>
                <w:vertAlign w:val="baseline"/>
                <w:lang w:val="en-US" w:eastAsia="zh-CN"/>
              </w:rPr>
            </w:pPr>
            <w:r>
              <w:rPr>
                <w:rFonts w:hint="eastAsia" w:ascii="楷体" w:hAnsi="楷体" w:eastAsia="楷体" w:cs="Times New Roman"/>
                <w:b/>
                <w:bCs/>
                <w:sz w:val="24"/>
                <w:szCs w:val="24"/>
              </w:rPr>
              <w:t>销售代码</w:t>
            </w:r>
          </w:p>
        </w:tc>
        <w:tc>
          <w:tcPr>
            <w:tcW w:w="2350" w:type="dxa"/>
            <w:noWrap w:val="0"/>
            <w:vAlign w:val="center"/>
          </w:tcPr>
          <w:p>
            <w:pPr>
              <w:pStyle w:val="11"/>
              <w:spacing w:before="0" w:beforeAutospacing="0" w:after="0" w:afterAutospacing="0" w:line="480" w:lineRule="auto"/>
              <w:jc w:val="center"/>
              <w:rPr>
                <w:rFonts w:hint="eastAsia" w:ascii="楷体" w:hAnsi="楷体" w:eastAsia="楷体" w:cs="Times New Roman"/>
                <w:b/>
                <w:bCs/>
                <w:sz w:val="24"/>
                <w:szCs w:val="24"/>
                <w:vertAlign w:val="baseline"/>
                <w:lang w:val="en-US" w:eastAsia="zh-CN"/>
              </w:rPr>
            </w:pPr>
            <w:r>
              <w:rPr>
                <w:rFonts w:hint="eastAsia" w:ascii="楷体" w:hAnsi="楷体" w:eastAsia="楷体" w:cs="Times New Roman"/>
                <w:b/>
                <w:bCs/>
                <w:sz w:val="24"/>
                <w:szCs w:val="24"/>
                <w:vertAlign w:val="baseline"/>
                <w:lang w:val="en-US" w:eastAsia="zh-CN"/>
              </w:rPr>
              <w:t>说明书销售手续费</w:t>
            </w:r>
          </w:p>
          <w:p>
            <w:pPr>
              <w:pStyle w:val="11"/>
              <w:spacing w:before="0" w:beforeAutospacing="0" w:after="0" w:afterAutospacing="0" w:line="480" w:lineRule="auto"/>
              <w:jc w:val="center"/>
              <w:rPr>
                <w:rFonts w:hint="default" w:ascii="楷体" w:hAnsi="楷体" w:eastAsia="楷体" w:cs="Times New Roman"/>
                <w:b/>
                <w:bCs/>
                <w:sz w:val="24"/>
                <w:szCs w:val="24"/>
                <w:vertAlign w:val="baseline"/>
                <w:lang w:val="en-US" w:eastAsia="zh-CN"/>
              </w:rPr>
            </w:pPr>
            <w:r>
              <w:rPr>
                <w:rFonts w:hint="eastAsia" w:ascii="楷体" w:hAnsi="楷体" w:eastAsia="楷体" w:cs="Times New Roman"/>
                <w:b/>
                <w:bCs/>
                <w:sz w:val="24"/>
                <w:szCs w:val="24"/>
                <w:lang w:val="en-US" w:eastAsia="zh-CN"/>
              </w:rPr>
              <w:t>（调整前）</w:t>
            </w:r>
          </w:p>
        </w:tc>
        <w:tc>
          <w:tcPr>
            <w:tcW w:w="2616" w:type="dxa"/>
            <w:noWrap w:val="0"/>
            <w:vAlign w:val="center"/>
          </w:tcPr>
          <w:p>
            <w:pPr>
              <w:pStyle w:val="11"/>
              <w:spacing w:before="0" w:beforeAutospacing="0" w:after="0" w:afterAutospacing="0" w:line="480" w:lineRule="auto"/>
              <w:jc w:val="center"/>
              <w:rPr>
                <w:rFonts w:hint="eastAsia" w:ascii="楷体" w:hAnsi="楷体" w:eastAsia="楷体" w:cs="Times New Roman"/>
                <w:b/>
                <w:bCs/>
                <w:sz w:val="24"/>
                <w:szCs w:val="24"/>
                <w:lang w:val="en-US" w:eastAsia="zh-CN"/>
              </w:rPr>
            </w:pPr>
            <w:r>
              <w:rPr>
                <w:rFonts w:hint="eastAsia" w:ascii="楷体" w:hAnsi="楷体" w:eastAsia="楷体" w:cs="Times New Roman"/>
                <w:b/>
                <w:bCs/>
                <w:sz w:val="24"/>
                <w:szCs w:val="24"/>
                <w:vertAlign w:val="baseline"/>
                <w:lang w:val="en-US" w:eastAsia="zh-CN"/>
              </w:rPr>
              <w:t>说明书销售手续费</w:t>
            </w:r>
          </w:p>
          <w:p>
            <w:pPr>
              <w:pStyle w:val="11"/>
              <w:spacing w:before="0" w:beforeAutospacing="0" w:after="0" w:afterAutospacing="0" w:line="480" w:lineRule="auto"/>
              <w:jc w:val="center"/>
              <w:rPr>
                <w:rFonts w:hint="eastAsia" w:ascii="楷体" w:hAnsi="楷体" w:eastAsia="楷体" w:cs="Times New Roman"/>
                <w:b/>
                <w:bCs/>
                <w:sz w:val="24"/>
                <w:szCs w:val="24"/>
                <w:lang w:val="en-US" w:eastAsia="zh-CN"/>
              </w:rPr>
            </w:pPr>
            <w:r>
              <w:rPr>
                <w:rFonts w:hint="eastAsia" w:ascii="楷体" w:hAnsi="楷体" w:eastAsia="楷体" w:cs="Times New Roman"/>
                <w:b/>
                <w:bCs/>
                <w:sz w:val="24"/>
                <w:szCs w:val="24"/>
                <w:lang w:val="en-US" w:eastAsia="zh-CN"/>
              </w:rPr>
              <w:t>（调整后）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5" w:hRule="atLeast"/>
        </w:trPr>
        <w:tc>
          <w:tcPr>
            <w:tcW w:w="2600" w:type="dxa"/>
            <w:noWrap w:val="0"/>
            <w:vAlign w:val="center"/>
          </w:tcPr>
          <w:p>
            <w:pPr>
              <w:keepNext w:val="0"/>
              <w:keepLines w:val="0"/>
              <w:widowControl/>
              <w:suppressLineNumbers w:val="0"/>
              <w:jc w:val="center"/>
              <w:textAlignment w:val="center"/>
              <w:rPr>
                <w:rFonts w:hint="eastAsia" w:ascii="楷体" w:hAnsi="楷体" w:eastAsia="楷体" w:cs="Times New Roman"/>
                <w:kern w:val="2"/>
                <w:sz w:val="32"/>
                <w:szCs w:val="32"/>
                <w:lang w:val="en-US" w:eastAsia="zh-CN" w:bidi="ar-SA"/>
              </w:rPr>
            </w:pPr>
            <w:r>
              <w:rPr>
                <w:rFonts w:hint="eastAsia" w:ascii="楷体" w:hAnsi="楷体" w:eastAsia="楷体" w:cs="Times New Roman"/>
                <w:kern w:val="0"/>
                <w:sz w:val="24"/>
                <w:szCs w:val="24"/>
                <w:lang w:val="en-US" w:eastAsia="zh-CN" w:bidi="ar-SA"/>
              </w:rPr>
              <w:t>苏银理财恒源周开放1号F</w:t>
            </w:r>
          </w:p>
        </w:tc>
        <w:tc>
          <w:tcPr>
            <w:tcW w:w="1684" w:type="dxa"/>
            <w:noWrap w:val="0"/>
            <w:vAlign w:val="center"/>
          </w:tcPr>
          <w:p>
            <w:pPr>
              <w:pStyle w:val="11"/>
              <w:spacing w:before="0" w:beforeAutospacing="0" w:after="0" w:afterAutospacing="0" w:line="400" w:lineRule="exact"/>
              <w:jc w:val="center"/>
              <w:rPr>
                <w:rFonts w:hint="eastAsia" w:ascii="楷体" w:hAnsi="楷体" w:eastAsia="楷体" w:cs="楷体"/>
                <w:i w:val="0"/>
                <w:color w:val="000000"/>
                <w:kern w:val="0"/>
                <w:sz w:val="32"/>
                <w:szCs w:val="32"/>
                <w:u w:val="none"/>
                <w:lang w:val="en-US" w:eastAsia="zh-CN" w:bidi="ar"/>
              </w:rPr>
            </w:pPr>
            <w:r>
              <w:rPr>
                <w:rFonts w:hint="eastAsia" w:ascii="楷体" w:hAnsi="楷体" w:eastAsia="楷体" w:cs="宋体"/>
                <w:spacing w:val="-2"/>
                <w:kern w:val="0"/>
                <w:sz w:val="24"/>
                <w:szCs w:val="24"/>
                <w:highlight w:val="none"/>
                <w:lang w:val="en-US" w:eastAsia="zh-CN" w:bidi="ar-SA"/>
              </w:rPr>
              <w:t>J01995</w:t>
            </w:r>
          </w:p>
        </w:tc>
        <w:tc>
          <w:tcPr>
            <w:tcW w:w="2350" w:type="dxa"/>
            <w:noWrap w:val="0"/>
            <w:vAlign w:val="center"/>
          </w:tcPr>
          <w:p>
            <w:pPr>
              <w:keepNext w:val="0"/>
              <w:keepLines w:val="0"/>
              <w:widowControl/>
              <w:suppressLineNumbers w:val="0"/>
              <w:jc w:val="center"/>
              <w:textAlignment w:val="center"/>
              <w:rPr>
                <w:rFonts w:hint="default" w:ascii="楷体" w:hAnsi="楷体" w:eastAsia="楷体" w:cs="楷体"/>
                <w:i w:val="0"/>
                <w:color w:val="000000"/>
                <w:kern w:val="0"/>
                <w:sz w:val="24"/>
                <w:szCs w:val="24"/>
                <w:u w:val="none"/>
                <w:lang w:val="en-US" w:eastAsia="zh-CN" w:bidi="ar"/>
              </w:rPr>
            </w:pPr>
            <w:r>
              <w:rPr>
                <w:rFonts w:hint="eastAsia" w:ascii="楷体" w:hAnsi="楷体" w:eastAsia="楷体" w:cs="楷体"/>
                <w:i w:val="0"/>
                <w:color w:val="000000"/>
                <w:kern w:val="0"/>
                <w:sz w:val="24"/>
                <w:szCs w:val="24"/>
                <w:u w:val="none"/>
                <w:lang w:val="en-US" w:eastAsia="zh-CN" w:bidi="ar"/>
              </w:rPr>
              <w:t>0.20%/年</w:t>
            </w:r>
          </w:p>
        </w:tc>
        <w:tc>
          <w:tcPr>
            <w:tcW w:w="2616" w:type="dxa"/>
            <w:noWrap w:val="0"/>
            <w:vAlign w:val="center"/>
          </w:tcPr>
          <w:p>
            <w:pPr>
              <w:keepNext w:val="0"/>
              <w:keepLines w:val="0"/>
              <w:widowControl/>
              <w:suppressLineNumbers w:val="0"/>
              <w:jc w:val="center"/>
              <w:textAlignment w:val="center"/>
              <w:rPr>
                <w:rFonts w:hint="default" w:ascii="楷体" w:hAnsi="楷体" w:eastAsia="楷体" w:cs="楷体"/>
                <w:i w:val="0"/>
                <w:color w:val="000000"/>
                <w:kern w:val="0"/>
                <w:sz w:val="24"/>
                <w:szCs w:val="24"/>
                <w:u w:val="none"/>
                <w:lang w:val="en-US" w:eastAsia="zh-CN" w:bidi="ar"/>
              </w:rPr>
            </w:pPr>
            <w:r>
              <w:rPr>
                <w:rFonts w:hint="eastAsia" w:ascii="楷体" w:hAnsi="楷体" w:eastAsia="楷体" w:cs="楷体"/>
                <w:i w:val="0"/>
                <w:color w:val="000000"/>
                <w:kern w:val="0"/>
                <w:sz w:val="24"/>
                <w:szCs w:val="24"/>
                <w:u w:val="none"/>
                <w:lang w:val="en-US" w:eastAsia="zh-CN" w:bidi="ar"/>
              </w:rPr>
              <w:t>0.30%/年</w:t>
            </w:r>
          </w:p>
        </w:tc>
      </w:tr>
    </w:tbl>
    <w:p>
      <w:pPr>
        <w:spacing w:line="520" w:lineRule="exact"/>
        <w:ind w:firstLine="565" w:firstLineChars="202"/>
        <w:rPr>
          <w:rFonts w:hint="default" w:ascii="楷体" w:hAnsi="楷体" w:eastAsia="楷体"/>
          <w:sz w:val="28"/>
          <w:szCs w:val="28"/>
          <w:lang w:val="en-US" w:eastAsia="zh-CN"/>
        </w:rPr>
      </w:pPr>
      <w:r>
        <w:rPr>
          <w:rFonts w:hint="eastAsia" w:ascii="楷体" w:hAnsi="楷体" w:eastAsia="楷体"/>
          <w:sz w:val="28"/>
          <w:szCs w:val="28"/>
          <w:lang w:val="en-US" w:eastAsia="zh-CN"/>
        </w:rPr>
        <w:t>上述调整将于2026年2月12日起生效，投资者如不接受本次公告所述调整，可于</w:t>
      </w:r>
      <w:r>
        <w:rPr>
          <w:rFonts w:hint="eastAsia" w:ascii="楷体" w:hAnsi="楷体" w:eastAsia="楷体"/>
          <w:sz w:val="28"/>
          <w:szCs w:val="28"/>
        </w:rPr>
        <w:t>202</w:t>
      </w:r>
      <w:r>
        <w:rPr>
          <w:rFonts w:hint="eastAsia" w:ascii="楷体" w:hAnsi="楷体" w:eastAsia="楷体"/>
          <w:sz w:val="28"/>
          <w:szCs w:val="28"/>
          <w:lang w:val="en-US" w:eastAsia="zh-CN"/>
        </w:rPr>
        <w:t>6</w:t>
      </w:r>
      <w:r>
        <w:rPr>
          <w:rFonts w:hint="eastAsia" w:ascii="楷体" w:hAnsi="楷体" w:eastAsia="楷体"/>
          <w:sz w:val="28"/>
          <w:szCs w:val="28"/>
        </w:rPr>
        <w:t>年</w:t>
      </w:r>
      <w:r>
        <w:rPr>
          <w:rFonts w:hint="eastAsia" w:ascii="楷体" w:hAnsi="楷体" w:eastAsia="楷体"/>
          <w:sz w:val="28"/>
          <w:szCs w:val="28"/>
          <w:lang w:val="en-US" w:eastAsia="zh-CN"/>
        </w:rPr>
        <w:t>2</w:t>
      </w:r>
      <w:r>
        <w:rPr>
          <w:rFonts w:hint="eastAsia" w:ascii="楷体" w:hAnsi="楷体" w:eastAsia="楷体"/>
          <w:sz w:val="28"/>
          <w:szCs w:val="28"/>
        </w:rPr>
        <w:t>月</w:t>
      </w:r>
      <w:r>
        <w:rPr>
          <w:rFonts w:hint="eastAsia" w:ascii="楷体" w:hAnsi="楷体" w:eastAsia="楷体"/>
          <w:sz w:val="28"/>
          <w:szCs w:val="28"/>
          <w:lang w:val="en-US" w:eastAsia="zh-CN"/>
        </w:rPr>
        <w:t>9日至</w:t>
      </w:r>
      <w:r>
        <w:rPr>
          <w:rFonts w:hint="eastAsia" w:ascii="楷体" w:hAnsi="楷体" w:eastAsia="楷体"/>
          <w:sz w:val="28"/>
          <w:szCs w:val="28"/>
        </w:rPr>
        <w:t>202</w:t>
      </w:r>
      <w:r>
        <w:rPr>
          <w:rFonts w:hint="eastAsia" w:ascii="楷体" w:hAnsi="楷体" w:eastAsia="楷体"/>
          <w:sz w:val="28"/>
          <w:szCs w:val="28"/>
          <w:lang w:val="en-US" w:eastAsia="zh-CN"/>
        </w:rPr>
        <w:t>6</w:t>
      </w:r>
      <w:r>
        <w:rPr>
          <w:rFonts w:hint="eastAsia" w:ascii="楷体" w:hAnsi="楷体" w:eastAsia="楷体"/>
          <w:sz w:val="28"/>
          <w:szCs w:val="28"/>
        </w:rPr>
        <w:t>年</w:t>
      </w:r>
      <w:r>
        <w:rPr>
          <w:rFonts w:hint="eastAsia" w:ascii="楷体" w:hAnsi="楷体" w:eastAsia="楷体"/>
          <w:sz w:val="28"/>
          <w:szCs w:val="28"/>
          <w:lang w:val="en-US" w:eastAsia="zh-CN"/>
        </w:rPr>
        <w:t>2</w:t>
      </w:r>
      <w:r>
        <w:rPr>
          <w:rFonts w:hint="eastAsia" w:ascii="楷体" w:hAnsi="楷体" w:eastAsia="楷体"/>
          <w:sz w:val="28"/>
          <w:szCs w:val="28"/>
        </w:rPr>
        <w:t>月</w:t>
      </w:r>
      <w:r>
        <w:rPr>
          <w:rFonts w:hint="eastAsia" w:ascii="楷体" w:hAnsi="楷体" w:eastAsia="楷体"/>
          <w:sz w:val="28"/>
          <w:szCs w:val="28"/>
          <w:lang w:val="en-US" w:eastAsia="zh-CN"/>
        </w:rPr>
        <w:t>11日产品开放期内提出赎回申请；若投资者逾期未提出赎回申请，则视为接受上述调整事项。</w:t>
      </w:r>
    </w:p>
    <w:p>
      <w:pPr>
        <w:spacing w:line="520" w:lineRule="exact"/>
        <w:ind w:firstLine="565" w:firstLineChars="202"/>
        <w:rPr>
          <w:rFonts w:hint="eastAsia" w:ascii="楷体" w:hAnsi="楷体" w:eastAsia="楷体"/>
          <w:sz w:val="28"/>
          <w:szCs w:val="28"/>
          <w:lang w:val="en-US" w:eastAsia="zh-CN"/>
        </w:rPr>
      </w:pPr>
      <w:r>
        <w:rPr>
          <w:rFonts w:hint="eastAsia" w:ascii="楷体" w:hAnsi="楷体" w:eastAsia="楷体"/>
          <w:sz w:val="28"/>
          <w:szCs w:val="28"/>
          <w:lang w:val="en-US" w:eastAsia="zh-CN"/>
        </w:rPr>
        <w:t>投资者可通过原理财产品合同约定的信息披露渠道查询更新后的理财产品合同。</w:t>
      </w:r>
    </w:p>
    <w:p>
      <w:pPr>
        <w:pStyle w:val="11"/>
        <w:spacing w:before="0" w:beforeAutospacing="0" w:after="0" w:afterAutospacing="0" w:line="480" w:lineRule="auto"/>
        <w:ind w:firstLine="560" w:firstLineChars="200"/>
        <w:rPr>
          <w:rFonts w:hint="eastAsia" w:ascii="楷体" w:hAnsi="楷体" w:eastAsia="楷体" w:cs="Times New Roman"/>
          <w:sz w:val="28"/>
          <w:szCs w:val="28"/>
        </w:rPr>
      </w:pPr>
      <w:r>
        <w:rPr>
          <w:rFonts w:hint="eastAsia" w:ascii="楷体" w:hAnsi="楷体" w:eastAsia="楷体" w:cs="Times New Roman"/>
          <w:sz w:val="28"/>
          <w:szCs w:val="28"/>
        </w:rPr>
        <w:t>特此报告。</w:t>
      </w:r>
    </w:p>
    <w:p>
      <w:pPr>
        <w:pStyle w:val="11"/>
        <w:spacing w:before="0" w:beforeAutospacing="0" w:after="0" w:afterAutospacing="0" w:line="480" w:lineRule="auto"/>
        <w:ind w:firstLine="560" w:firstLineChars="200"/>
        <w:rPr>
          <w:rFonts w:hint="eastAsia" w:ascii="楷体" w:hAnsi="楷体" w:eastAsia="楷体" w:cs="Times New Roman"/>
          <w:sz w:val="28"/>
          <w:szCs w:val="28"/>
        </w:rPr>
      </w:pPr>
      <w:r>
        <w:rPr>
          <w:rFonts w:hint="eastAsia" w:ascii="楷体" w:hAnsi="楷体" w:eastAsia="楷体" w:cs="Times New Roman"/>
          <w:sz w:val="28"/>
          <w:szCs w:val="28"/>
        </w:rPr>
        <w:t>感谢您投资苏银理财本期理财产品，敬请继续关注我司近期推出的其他理财产品。</w:t>
      </w:r>
    </w:p>
    <w:p>
      <w:pPr>
        <w:spacing w:line="520" w:lineRule="exact"/>
        <w:jc w:val="right"/>
        <w:rPr>
          <w:rFonts w:hint="eastAsia" w:ascii="楷体" w:hAnsi="楷体" w:eastAsia="楷体"/>
          <w:kern w:val="0"/>
          <w:sz w:val="28"/>
          <w:szCs w:val="28"/>
        </w:rPr>
      </w:pPr>
      <w:r>
        <w:rPr>
          <w:rFonts w:hint="eastAsia" w:ascii="楷体" w:hAnsi="楷体" w:eastAsia="楷体"/>
          <w:kern w:val="0"/>
          <w:sz w:val="28"/>
          <w:szCs w:val="28"/>
        </w:rPr>
        <w:t>苏银理财有限责任公司</w:t>
      </w:r>
    </w:p>
    <w:p>
      <w:pPr>
        <w:spacing w:line="520" w:lineRule="exact"/>
        <w:jc w:val="right"/>
        <w:rPr>
          <w:rFonts w:hint="eastAsia" w:ascii="楷体" w:hAnsi="楷体" w:eastAsia="楷体"/>
          <w:kern w:val="0"/>
          <w:sz w:val="24"/>
          <w:szCs w:val="24"/>
        </w:rPr>
      </w:pPr>
      <w:r>
        <w:rPr>
          <w:rFonts w:hint="eastAsia" w:ascii="楷体" w:hAnsi="楷体" w:eastAsia="楷体"/>
          <w:kern w:val="0"/>
          <w:sz w:val="28"/>
          <w:szCs w:val="28"/>
        </w:rPr>
        <w:t>202</w:t>
      </w:r>
      <w:r>
        <w:rPr>
          <w:rFonts w:hint="eastAsia" w:ascii="楷体" w:hAnsi="楷体" w:eastAsia="楷体"/>
          <w:kern w:val="0"/>
          <w:sz w:val="28"/>
          <w:szCs w:val="28"/>
          <w:lang w:val="en-US" w:eastAsia="zh-CN"/>
        </w:rPr>
        <w:t>6</w:t>
      </w:r>
      <w:r>
        <w:rPr>
          <w:rFonts w:hint="eastAsia" w:ascii="楷体" w:hAnsi="楷体" w:eastAsia="楷体"/>
          <w:kern w:val="0"/>
          <w:sz w:val="28"/>
          <w:szCs w:val="28"/>
        </w:rPr>
        <w:t>年</w:t>
      </w:r>
      <w:r>
        <w:rPr>
          <w:rFonts w:hint="eastAsia" w:ascii="楷体" w:hAnsi="楷体" w:eastAsia="楷体"/>
          <w:kern w:val="0"/>
          <w:sz w:val="28"/>
          <w:szCs w:val="28"/>
          <w:lang w:val="en-US" w:eastAsia="zh-CN"/>
        </w:rPr>
        <w:t>2</w:t>
      </w:r>
      <w:bookmarkStart w:id="1" w:name="_GoBack"/>
      <w:bookmarkEnd w:id="1"/>
      <w:r>
        <w:rPr>
          <w:rFonts w:hint="eastAsia" w:ascii="楷体" w:hAnsi="楷体" w:eastAsia="楷体"/>
          <w:kern w:val="0"/>
          <w:sz w:val="28"/>
          <w:szCs w:val="28"/>
        </w:rPr>
        <w:t>月</w:t>
      </w:r>
      <w:r>
        <w:rPr>
          <w:rFonts w:hint="eastAsia" w:ascii="楷体" w:hAnsi="楷体" w:eastAsia="楷体"/>
          <w:kern w:val="0"/>
          <w:sz w:val="28"/>
          <w:szCs w:val="28"/>
          <w:lang w:val="en-US" w:eastAsia="zh-CN"/>
        </w:rPr>
        <w:t>5</w:t>
      </w:r>
      <w:r>
        <w:rPr>
          <w:rFonts w:hint="eastAsia" w:ascii="楷体" w:hAnsi="楷体" w:eastAsia="楷体"/>
          <w:kern w:val="0"/>
          <w:sz w:val="28"/>
          <w:szCs w:val="28"/>
        </w:rPr>
        <w:t>日</w:t>
      </w:r>
    </w:p>
    <w:p>
      <w:pPr>
        <w:spacing w:line="520" w:lineRule="exact"/>
        <w:rPr>
          <w:rFonts w:hint="eastAsia"/>
        </w:rPr>
      </w:pPr>
    </w:p>
    <w:p>
      <w:pPr>
        <w:spacing w:line="520" w:lineRule="exact"/>
        <w:rPr>
          <w:rFonts w:hint="eastAsia"/>
        </w:rPr>
      </w:pPr>
    </w:p>
    <w:p>
      <w:pPr>
        <w:spacing w:line="520" w:lineRule="exact"/>
        <w:rPr>
          <w:rFonts w:hint="eastAsia" w:ascii="楷体" w:hAnsi="楷体" w:eastAsia="楷体" w:cs="楷体"/>
        </w:rPr>
      </w:pPr>
      <w:r>
        <w:rPr>
          <w:rFonts w:hint="eastAsia" w:ascii="楷体" w:hAnsi="楷体" w:eastAsia="楷体" w:cs="楷体"/>
        </w:rPr>
        <w:t>备注：本次披露内容解释权归苏银理财所有，不构成任何形式的法律要约或承诺。</w:t>
      </w:r>
    </w:p>
    <w:p>
      <w:pPr>
        <w:spacing w:line="520" w:lineRule="exact"/>
      </w:pPr>
    </w:p>
    <w:sectPr>
      <w:headerReference r:id="rId5" w:type="first"/>
      <w:headerReference r:id="rId3" w:type="default"/>
      <w:footerReference r:id="rId6" w:type="default"/>
      <w:headerReference r:id="rId4" w:type="even"/>
      <w:pgSz w:w="11906" w:h="16838"/>
      <w:pgMar w:top="1440" w:right="1800" w:bottom="1440" w:left="170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lang w:val="zh-CN"/>
      </w:rPr>
      <w:t xml:space="preserve"> </w:t>
    </w:r>
    <w:r>
      <w:rPr>
        <w:b/>
        <w:bCs/>
        <w:sz w:val="24"/>
        <w:szCs w:val="24"/>
      </w:rPr>
      <w:fldChar w:fldCharType="begin"/>
    </w:r>
    <w:r>
      <w:rPr>
        <w:b/>
        <w:bCs/>
      </w:rPr>
      <w:instrText xml:space="preserve">PAGE</w:instrText>
    </w:r>
    <w:r>
      <w:rPr>
        <w:b/>
        <w:bCs/>
        <w:sz w:val="24"/>
        <w:szCs w:val="24"/>
      </w:rPr>
      <w:fldChar w:fldCharType="separate"/>
    </w:r>
    <w:r>
      <w:rPr>
        <w:b/>
        <w:bCs/>
      </w:rPr>
      <w:t>1</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1</w:t>
    </w:r>
    <w:r>
      <w:rPr>
        <w:b/>
        <w:bCs/>
        <w:sz w:val="24"/>
        <w:szCs w:val="24"/>
      </w:rPr>
      <w:fldChar w:fldCharType="end"/>
    </w:r>
  </w:p>
  <w:p>
    <w:pPr>
      <w:pStyle w:val="9"/>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kinsoku w:val="0"/>
      <w:overflowPunct w:val="0"/>
      <w:spacing w:before="0" w:line="320" w:lineRule="exact"/>
      <w:ind w:left="20"/>
      <w:jc w:val="both"/>
      <w:rPr>
        <w:rFonts w:ascii="楷体" w:hAnsi="楷体" w:eastAsia="楷体" w:cs="黑体"/>
        <w:b/>
        <w:spacing w:val="-2"/>
        <w:sz w:val="24"/>
        <w:szCs w:val="24"/>
      </w:rPr>
    </w:pPr>
    <w:r>
      <w:rPr>
        <w:rFonts w:ascii="楷体" w:hAnsi="楷体" w:eastAsia="楷体"/>
        <w:b/>
      </w:rPr>
      <w:drawing>
        <wp:anchor distT="0" distB="0" distL="114300" distR="114300" simplePos="0" relativeHeight="251661312" behindDoc="1" locked="0" layoutInCell="0" allowOverlap="1">
          <wp:simplePos x="0" y="0"/>
          <wp:positionH relativeFrom="margin">
            <wp:align>center</wp:align>
          </wp:positionH>
          <wp:positionV relativeFrom="margin">
            <wp:align>center</wp:align>
          </wp:positionV>
          <wp:extent cx="14444345" cy="10958195"/>
          <wp:effectExtent l="0" t="0" r="14605" b="14605"/>
          <wp:wrapNone/>
          <wp:docPr id="3" name="WordPictureWatermark367128483" descr="苏银理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367128483" descr="苏银理财"/>
                  <pic:cNvPicPr>
                    <a:picLocks noChangeAspect="1"/>
                  </pic:cNvPicPr>
                </pic:nvPicPr>
                <pic:blipFill>
                  <a:blip r:embed="rId1">
                    <a:lum bright="70001" contrast="-70000"/>
                  </a:blip>
                  <a:stretch>
                    <a:fillRect/>
                  </a:stretch>
                </pic:blipFill>
                <pic:spPr>
                  <a:xfrm>
                    <a:off x="0" y="0"/>
                    <a:ext cx="14444345" cy="10958195"/>
                  </a:xfrm>
                  <a:prstGeom prst="rect">
                    <a:avLst/>
                  </a:prstGeom>
                  <a:noFill/>
                  <a:ln>
                    <a:noFill/>
                  </a:ln>
                </pic:spPr>
              </pic:pic>
            </a:graphicData>
          </a:graphic>
        </wp:anchor>
      </w:drawing>
    </w:r>
    <w:r>
      <w:drawing>
        <wp:anchor distT="0" distB="0" distL="114300" distR="114300" simplePos="0" relativeHeight="251662336" behindDoc="0" locked="0" layoutInCell="1" allowOverlap="1">
          <wp:simplePos x="0" y="0"/>
          <wp:positionH relativeFrom="column">
            <wp:posOffset>3923665</wp:posOffset>
          </wp:positionH>
          <wp:positionV relativeFrom="paragraph">
            <wp:posOffset>-95250</wp:posOffset>
          </wp:positionV>
          <wp:extent cx="1325245" cy="424815"/>
          <wp:effectExtent l="0" t="0" r="8255" b="13335"/>
          <wp:wrapSquare wrapText="bothSides"/>
          <wp:docPr id="4" name="图片 1" descr="说明: 说明: C:\Users\JSYH\Desktop\苏银理财.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 descr="说明: 说明: C:\Users\JSYH\Desktop\苏银理财.png"/>
                  <pic:cNvPicPr>
                    <a:picLocks noChangeAspect="1"/>
                  </pic:cNvPicPr>
                </pic:nvPicPr>
                <pic:blipFill>
                  <a:blip r:embed="rId2"/>
                  <a:stretch>
                    <a:fillRect/>
                  </a:stretch>
                </pic:blipFill>
                <pic:spPr>
                  <a:xfrm>
                    <a:off x="0" y="0"/>
                    <a:ext cx="1325245" cy="424815"/>
                  </a:xfrm>
                  <a:prstGeom prst="rect">
                    <a:avLst/>
                  </a:prstGeom>
                  <a:noFill/>
                  <a:ln>
                    <a:noFill/>
                  </a:ln>
                </pic:spPr>
              </pic:pic>
            </a:graphicData>
          </a:graphic>
        </wp:anchor>
      </w:drawing>
    </w:r>
    <w:r>
      <w:rPr>
        <w:rFonts w:hint="eastAsia" w:ascii="楷体" w:hAnsi="楷体" w:eastAsia="楷体" w:cs="黑体"/>
        <w:b/>
        <w:bCs/>
        <w:spacing w:val="-2"/>
        <w:sz w:val="24"/>
        <w:szCs w:val="24"/>
      </w:rPr>
      <w:t>理财非存款、产品有风险、投资须谨慎</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drawing>
        <wp:anchor distT="0" distB="0" distL="114300" distR="114300" simplePos="0" relativeHeight="251660288" behindDoc="1" locked="0" layoutInCell="0" allowOverlap="1">
          <wp:simplePos x="0" y="0"/>
          <wp:positionH relativeFrom="margin">
            <wp:align>center</wp:align>
          </wp:positionH>
          <wp:positionV relativeFrom="margin">
            <wp:align>center</wp:align>
          </wp:positionV>
          <wp:extent cx="14444345" cy="10958195"/>
          <wp:effectExtent l="0" t="0" r="14605" b="14605"/>
          <wp:wrapNone/>
          <wp:docPr id="2" name="WordPictureWatermark367128482" descr="苏银理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ordPictureWatermark367128482" descr="苏银理财"/>
                  <pic:cNvPicPr>
                    <a:picLocks noChangeAspect="1"/>
                  </pic:cNvPicPr>
                </pic:nvPicPr>
                <pic:blipFill>
                  <a:blip r:embed="rId1">
                    <a:lum bright="70001" contrast="-70000"/>
                  </a:blip>
                  <a:stretch>
                    <a:fillRect/>
                  </a:stretch>
                </pic:blipFill>
                <pic:spPr>
                  <a:xfrm>
                    <a:off x="0" y="0"/>
                    <a:ext cx="14444345" cy="10958195"/>
                  </a:xfrm>
                  <a:prstGeom prst="rect">
                    <a:avLst/>
                  </a:prstGeom>
                  <a:noFill/>
                  <a:ln>
                    <a:noFill/>
                  </a:ln>
                </pic:spPr>
              </pic:pic>
            </a:graphicData>
          </a:graphic>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drawing>
        <wp:anchor distT="0" distB="0" distL="114300" distR="114300" simplePos="0" relativeHeight="251659264" behindDoc="1" locked="0" layoutInCell="0" allowOverlap="1">
          <wp:simplePos x="0" y="0"/>
          <wp:positionH relativeFrom="margin">
            <wp:align>center</wp:align>
          </wp:positionH>
          <wp:positionV relativeFrom="margin">
            <wp:align>center</wp:align>
          </wp:positionV>
          <wp:extent cx="14444345" cy="10958195"/>
          <wp:effectExtent l="0" t="0" r="14605" b="14605"/>
          <wp:wrapNone/>
          <wp:docPr id="1" name="WordPictureWatermark367128481" descr="苏银理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PictureWatermark367128481" descr="苏银理财"/>
                  <pic:cNvPicPr>
                    <a:picLocks noChangeAspect="1"/>
                  </pic:cNvPicPr>
                </pic:nvPicPr>
                <pic:blipFill>
                  <a:blip r:embed="rId1">
                    <a:lum bright="70001" contrast="-70000"/>
                  </a:blip>
                  <a:stretch>
                    <a:fillRect/>
                  </a:stretch>
                </pic:blipFill>
                <pic:spPr>
                  <a:xfrm>
                    <a:off x="0" y="0"/>
                    <a:ext cx="14444345" cy="10958195"/>
                  </a:xfrm>
                  <a:prstGeom prst="rect">
                    <a:avLst/>
                  </a:prstGeom>
                  <a:noFill/>
                  <a:ln>
                    <a:noFill/>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01262C4"/>
    <w:multiLevelType w:val="singleLevel"/>
    <w:tmpl w:val="501262C4"/>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23F7"/>
    <w:rsid w:val="00001531"/>
    <w:rsid w:val="0000191C"/>
    <w:rsid w:val="00001E2F"/>
    <w:rsid w:val="00002389"/>
    <w:rsid w:val="00003606"/>
    <w:rsid w:val="000048B0"/>
    <w:rsid w:val="00005B01"/>
    <w:rsid w:val="000101E4"/>
    <w:rsid w:val="0001103A"/>
    <w:rsid w:val="000131EF"/>
    <w:rsid w:val="00013628"/>
    <w:rsid w:val="00014334"/>
    <w:rsid w:val="000158A7"/>
    <w:rsid w:val="00015A92"/>
    <w:rsid w:val="00015D58"/>
    <w:rsid w:val="00016232"/>
    <w:rsid w:val="0002052D"/>
    <w:rsid w:val="00020A6F"/>
    <w:rsid w:val="00021007"/>
    <w:rsid w:val="00023BA8"/>
    <w:rsid w:val="000247F9"/>
    <w:rsid w:val="00024C7F"/>
    <w:rsid w:val="000263ED"/>
    <w:rsid w:val="00027E61"/>
    <w:rsid w:val="00027F48"/>
    <w:rsid w:val="0003072E"/>
    <w:rsid w:val="00030D69"/>
    <w:rsid w:val="00031806"/>
    <w:rsid w:val="00031F80"/>
    <w:rsid w:val="00034890"/>
    <w:rsid w:val="000375C2"/>
    <w:rsid w:val="000405B1"/>
    <w:rsid w:val="00043555"/>
    <w:rsid w:val="00043D5F"/>
    <w:rsid w:val="000469D0"/>
    <w:rsid w:val="00046AAA"/>
    <w:rsid w:val="0004768E"/>
    <w:rsid w:val="00050975"/>
    <w:rsid w:val="00051DB3"/>
    <w:rsid w:val="00054854"/>
    <w:rsid w:val="00057B16"/>
    <w:rsid w:val="00060571"/>
    <w:rsid w:val="00061D74"/>
    <w:rsid w:val="00062791"/>
    <w:rsid w:val="00064F2B"/>
    <w:rsid w:val="00066F56"/>
    <w:rsid w:val="000677EE"/>
    <w:rsid w:val="00070563"/>
    <w:rsid w:val="00071418"/>
    <w:rsid w:val="00071581"/>
    <w:rsid w:val="0007293A"/>
    <w:rsid w:val="00072D1F"/>
    <w:rsid w:val="0007366C"/>
    <w:rsid w:val="00074189"/>
    <w:rsid w:val="00074306"/>
    <w:rsid w:val="000757BB"/>
    <w:rsid w:val="00080C2C"/>
    <w:rsid w:val="00081AD6"/>
    <w:rsid w:val="000853F6"/>
    <w:rsid w:val="000867A8"/>
    <w:rsid w:val="00087036"/>
    <w:rsid w:val="00087EDB"/>
    <w:rsid w:val="00091208"/>
    <w:rsid w:val="00093C11"/>
    <w:rsid w:val="00094631"/>
    <w:rsid w:val="00096382"/>
    <w:rsid w:val="0009795C"/>
    <w:rsid w:val="00097F80"/>
    <w:rsid w:val="000A2D2D"/>
    <w:rsid w:val="000A2E68"/>
    <w:rsid w:val="000A45AB"/>
    <w:rsid w:val="000B0078"/>
    <w:rsid w:val="000B0690"/>
    <w:rsid w:val="000B0E85"/>
    <w:rsid w:val="000B382A"/>
    <w:rsid w:val="000B3B58"/>
    <w:rsid w:val="000B3EFD"/>
    <w:rsid w:val="000B659B"/>
    <w:rsid w:val="000B6E9F"/>
    <w:rsid w:val="000B7D78"/>
    <w:rsid w:val="000C3DB1"/>
    <w:rsid w:val="000C54ED"/>
    <w:rsid w:val="000C5C02"/>
    <w:rsid w:val="000C6143"/>
    <w:rsid w:val="000C7382"/>
    <w:rsid w:val="000D35BD"/>
    <w:rsid w:val="000D71CF"/>
    <w:rsid w:val="000D7225"/>
    <w:rsid w:val="000D722C"/>
    <w:rsid w:val="000E0485"/>
    <w:rsid w:val="000E1951"/>
    <w:rsid w:val="000E2E7D"/>
    <w:rsid w:val="000E34F3"/>
    <w:rsid w:val="000E4205"/>
    <w:rsid w:val="000E7579"/>
    <w:rsid w:val="000E7CF6"/>
    <w:rsid w:val="000F0433"/>
    <w:rsid w:val="000F1D3C"/>
    <w:rsid w:val="000F362A"/>
    <w:rsid w:val="000F3D5D"/>
    <w:rsid w:val="000F4243"/>
    <w:rsid w:val="000F4ABF"/>
    <w:rsid w:val="000F5B66"/>
    <w:rsid w:val="000F5FF6"/>
    <w:rsid w:val="000F65C5"/>
    <w:rsid w:val="000F7056"/>
    <w:rsid w:val="000F7D2C"/>
    <w:rsid w:val="00100F0C"/>
    <w:rsid w:val="001025A3"/>
    <w:rsid w:val="001036A0"/>
    <w:rsid w:val="0010457E"/>
    <w:rsid w:val="001065F5"/>
    <w:rsid w:val="00110417"/>
    <w:rsid w:val="00111E3E"/>
    <w:rsid w:val="001126F6"/>
    <w:rsid w:val="00112F03"/>
    <w:rsid w:val="00115E7F"/>
    <w:rsid w:val="0011696D"/>
    <w:rsid w:val="00121681"/>
    <w:rsid w:val="00122F58"/>
    <w:rsid w:val="0012352A"/>
    <w:rsid w:val="00123BCB"/>
    <w:rsid w:val="0012411A"/>
    <w:rsid w:val="001242DE"/>
    <w:rsid w:val="00124C00"/>
    <w:rsid w:val="00125B8C"/>
    <w:rsid w:val="0012647A"/>
    <w:rsid w:val="001303B2"/>
    <w:rsid w:val="00130EED"/>
    <w:rsid w:val="00130F7B"/>
    <w:rsid w:val="00131F1B"/>
    <w:rsid w:val="0013364F"/>
    <w:rsid w:val="00133AAF"/>
    <w:rsid w:val="00133B98"/>
    <w:rsid w:val="0013472F"/>
    <w:rsid w:val="00134733"/>
    <w:rsid w:val="001359ED"/>
    <w:rsid w:val="00137395"/>
    <w:rsid w:val="00140B25"/>
    <w:rsid w:val="001450DF"/>
    <w:rsid w:val="0014734D"/>
    <w:rsid w:val="00151CC7"/>
    <w:rsid w:val="00152B36"/>
    <w:rsid w:val="00153081"/>
    <w:rsid w:val="001530B2"/>
    <w:rsid w:val="001543E7"/>
    <w:rsid w:val="00155B77"/>
    <w:rsid w:val="00160569"/>
    <w:rsid w:val="00161E2F"/>
    <w:rsid w:val="001624A3"/>
    <w:rsid w:val="001624DA"/>
    <w:rsid w:val="00162BF5"/>
    <w:rsid w:val="00165E23"/>
    <w:rsid w:val="00166B3A"/>
    <w:rsid w:val="00170099"/>
    <w:rsid w:val="00170194"/>
    <w:rsid w:val="00170927"/>
    <w:rsid w:val="0017092A"/>
    <w:rsid w:val="00170A6E"/>
    <w:rsid w:val="00172B90"/>
    <w:rsid w:val="00173A2B"/>
    <w:rsid w:val="00173CE1"/>
    <w:rsid w:val="00174417"/>
    <w:rsid w:val="001749CF"/>
    <w:rsid w:val="00176B8E"/>
    <w:rsid w:val="001770F3"/>
    <w:rsid w:val="00177BCC"/>
    <w:rsid w:val="0018251A"/>
    <w:rsid w:val="001846FB"/>
    <w:rsid w:val="00194E69"/>
    <w:rsid w:val="00195FF0"/>
    <w:rsid w:val="00197DD9"/>
    <w:rsid w:val="001A05F5"/>
    <w:rsid w:val="001A1C12"/>
    <w:rsid w:val="001A57DB"/>
    <w:rsid w:val="001A586B"/>
    <w:rsid w:val="001A73F1"/>
    <w:rsid w:val="001B1D26"/>
    <w:rsid w:val="001B1E1E"/>
    <w:rsid w:val="001B2F76"/>
    <w:rsid w:val="001B2F82"/>
    <w:rsid w:val="001B396B"/>
    <w:rsid w:val="001B4B9C"/>
    <w:rsid w:val="001B72EB"/>
    <w:rsid w:val="001B7D0D"/>
    <w:rsid w:val="001C13E9"/>
    <w:rsid w:val="001C4148"/>
    <w:rsid w:val="001C78FF"/>
    <w:rsid w:val="001D0B29"/>
    <w:rsid w:val="001D1C27"/>
    <w:rsid w:val="001D2A8B"/>
    <w:rsid w:val="001D48EE"/>
    <w:rsid w:val="001D49AC"/>
    <w:rsid w:val="001D4BC9"/>
    <w:rsid w:val="001D4FE1"/>
    <w:rsid w:val="001D78FF"/>
    <w:rsid w:val="001E0062"/>
    <w:rsid w:val="001E0387"/>
    <w:rsid w:val="001E223F"/>
    <w:rsid w:val="001E4374"/>
    <w:rsid w:val="001E4A82"/>
    <w:rsid w:val="001E4C0D"/>
    <w:rsid w:val="001E4E95"/>
    <w:rsid w:val="001E623C"/>
    <w:rsid w:val="001E631F"/>
    <w:rsid w:val="001F0A69"/>
    <w:rsid w:val="001F1728"/>
    <w:rsid w:val="001F2658"/>
    <w:rsid w:val="001F3AD6"/>
    <w:rsid w:val="001F3CCB"/>
    <w:rsid w:val="001F63BD"/>
    <w:rsid w:val="001F6775"/>
    <w:rsid w:val="001F69BF"/>
    <w:rsid w:val="00200449"/>
    <w:rsid w:val="00200DF8"/>
    <w:rsid w:val="0020123C"/>
    <w:rsid w:val="0020196F"/>
    <w:rsid w:val="002024E9"/>
    <w:rsid w:val="0020639A"/>
    <w:rsid w:val="00206636"/>
    <w:rsid w:val="00210857"/>
    <w:rsid w:val="002119A2"/>
    <w:rsid w:val="00213632"/>
    <w:rsid w:val="00215F66"/>
    <w:rsid w:val="00216C87"/>
    <w:rsid w:val="0022162D"/>
    <w:rsid w:val="002222A4"/>
    <w:rsid w:val="0022633B"/>
    <w:rsid w:val="00226F9D"/>
    <w:rsid w:val="00230F4A"/>
    <w:rsid w:val="00231B08"/>
    <w:rsid w:val="00232A54"/>
    <w:rsid w:val="0023376E"/>
    <w:rsid w:val="0023523A"/>
    <w:rsid w:val="00235E45"/>
    <w:rsid w:val="002366EB"/>
    <w:rsid w:val="002379DD"/>
    <w:rsid w:val="00237FDB"/>
    <w:rsid w:val="0024053C"/>
    <w:rsid w:val="002436C1"/>
    <w:rsid w:val="00243DF5"/>
    <w:rsid w:val="00245106"/>
    <w:rsid w:val="00245D03"/>
    <w:rsid w:val="0024748B"/>
    <w:rsid w:val="00247A7D"/>
    <w:rsid w:val="0025150E"/>
    <w:rsid w:val="00252B51"/>
    <w:rsid w:val="00253997"/>
    <w:rsid w:val="0025423C"/>
    <w:rsid w:val="00254A3C"/>
    <w:rsid w:val="00254A8B"/>
    <w:rsid w:val="00256E57"/>
    <w:rsid w:val="0025744E"/>
    <w:rsid w:val="002579CC"/>
    <w:rsid w:val="0026641B"/>
    <w:rsid w:val="002672C8"/>
    <w:rsid w:val="00270665"/>
    <w:rsid w:val="00272C53"/>
    <w:rsid w:val="00272E20"/>
    <w:rsid w:val="00273681"/>
    <w:rsid w:val="0027409E"/>
    <w:rsid w:val="00274FAF"/>
    <w:rsid w:val="0027510A"/>
    <w:rsid w:val="002765F4"/>
    <w:rsid w:val="00276883"/>
    <w:rsid w:val="00277C1F"/>
    <w:rsid w:val="002821D7"/>
    <w:rsid w:val="00282F20"/>
    <w:rsid w:val="0029004F"/>
    <w:rsid w:val="00291B84"/>
    <w:rsid w:val="00292B19"/>
    <w:rsid w:val="00292B5E"/>
    <w:rsid w:val="002932FC"/>
    <w:rsid w:val="00294431"/>
    <w:rsid w:val="00294B49"/>
    <w:rsid w:val="00295538"/>
    <w:rsid w:val="00297034"/>
    <w:rsid w:val="002A046A"/>
    <w:rsid w:val="002A237A"/>
    <w:rsid w:val="002A23E0"/>
    <w:rsid w:val="002A2E20"/>
    <w:rsid w:val="002A32DF"/>
    <w:rsid w:val="002A6980"/>
    <w:rsid w:val="002A7DF5"/>
    <w:rsid w:val="002A7E94"/>
    <w:rsid w:val="002B0795"/>
    <w:rsid w:val="002B2620"/>
    <w:rsid w:val="002B3225"/>
    <w:rsid w:val="002B5694"/>
    <w:rsid w:val="002B6C82"/>
    <w:rsid w:val="002C021F"/>
    <w:rsid w:val="002C2056"/>
    <w:rsid w:val="002C222A"/>
    <w:rsid w:val="002C23F7"/>
    <w:rsid w:val="002C3367"/>
    <w:rsid w:val="002C7117"/>
    <w:rsid w:val="002C7CB4"/>
    <w:rsid w:val="002D0706"/>
    <w:rsid w:val="002D29FD"/>
    <w:rsid w:val="002D2AEC"/>
    <w:rsid w:val="002D2C1F"/>
    <w:rsid w:val="002D4FE3"/>
    <w:rsid w:val="002D600D"/>
    <w:rsid w:val="002E1382"/>
    <w:rsid w:val="002E6F55"/>
    <w:rsid w:val="002F0E4E"/>
    <w:rsid w:val="002F24A1"/>
    <w:rsid w:val="002F344B"/>
    <w:rsid w:val="002F41A5"/>
    <w:rsid w:val="002F709A"/>
    <w:rsid w:val="002F77A8"/>
    <w:rsid w:val="00301619"/>
    <w:rsid w:val="00301AD3"/>
    <w:rsid w:val="00301E80"/>
    <w:rsid w:val="00302755"/>
    <w:rsid w:val="00303147"/>
    <w:rsid w:val="00304D18"/>
    <w:rsid w:val="00305A15"/>
    <w:rsid w:val="00306353"/>
    <w:rsid w:val="00306D41"/>
    <w:rsid w:val="00307094"/>
    <w:rsid w:val="00307342"/>
    <w:rsid w:val="00310A72"/>
    <w:rsid w:val="00311C18"/>
    <w:rsid w:val="0031298C"/>
    <w:rsid w:val="00313D52"/>
    <w:rsid w:val="00314235"/>
    <w:rsid w:val="0031453A"/>
    <w:rsid w:val="003222FC"/>
    <w:rsid w:val="00325D85"/>
    <w:rsid w:val="0032607C"/>
    <w:rsid w:val="00326E7B"/>
    <w:rsid w:val="0033166C"/>
    <w:rsid w:val="0033358A"/>
    <w:rsid w:val="00333937"/>
    <w:rsid w:val="003342B8"/>
    <w:rsid w:val="0033504B"/>
    <w:rsid w:val="003362C7"/>
    <w:rsid w:val="00336A5A"/>
    <w:rsid w:val="00337AA0"/>
    <w:rsid w:val="00342ADB"/>
    <w:rsid w:val="00343B0F"/>
    <w:rsid w:val="00347006"/>
    <w:rsid w:val="00347D0D"/>
    <w:rsid w:val="003503AE"/>
    <w:rsid w:val="00351D8C"/>
    <w:rsid w:val="0035213A"/>
    <w:rsid w:val="00353419"/>
    <w:rsid w:val="00355D35"/>
    <w:rsid w:val="00356BEA"/>
    <w:rsid w:val="00360094"/>
    <w:rsid w:val="003627FB"/>
    <w:rsid w:val="00362826"/>
    <w:rsid w:val="00363EEF"/>
    <w:rsid w:val="0036403D"/>
    <w:rsid w:val="0036455C"/>
    <w:rsid w:val="00364ED6"/>
    <w:rsid w:val="003656BF"/>
    <w:rsid w:val="00366074"/>
    <w:rsid w:val="00367122"/>
    <w:rsid w:val="0037083D"/>
    <w:rsid w:val="00372402"/>
    <w:rsid w:val="003724FE"/>
    <w:rsid w:val="003726C4"/>
    <w:rsid w:val="003732C5"/>
    <w:rsid w:val="00374086"/>
    <w:rsid w:val="00375BEB"/>
    <w:rsid w:val="003800B4"/>
    <w:rsid w:val="003809E0"/>
    <w:rsid w:val="003814E2"/>
    <w:rsid w:val="00381E88"/>
    <w:rsid w:val="003821F9"/>
    <w:rsid w:val="003827CD"/>
    <w:rsid w:val="00383A99"/>
    <w:rsid w:val="00383D6D"/>
    <w:rsid w:val="003852EF"/>
    <w:rsid w:val="003870EE"/>
    <w:rsid w:val="00393452"/>
    <w:rsid w:val="00394C2C"/>
    <w:rsid w:val="00395441"/>
    <w:rsid w:val="00396F85"/>
    <w:rsid w:val="0039723A"/>
    <w:rsid w:val="003A1CB9"/>
    <w:rsid w:val="003A27B8"/>
    <w:rsid w:val="003A3D8C"/>
    <w:rsid w:val="003A48E3"/>
    <w:rsid w:val="003A539D"/>
    <w:rsid w:val="003A5FA1"/>
    <w:rsid w:val="003A7623"/>
    <w:rsid w:val="003B1725"/>
    <w:rsid w:val="003B242C"/>
    <w:rsid w:val="003B324C"/>
    <w:rsid w:val="003B4D64"/>
    <w:rsid w:val="003B5DFB"/>
    <w:rsid w:val="003B6220"/>
    <w:rsid w:val="003B76DC"/>
    <w:rsid w:val="003C1E93"/>
    <w:rsid w:val="003C2161"/>
    <w:rsid w:val="003C596C"/>
    <w:rsid w:val="003C6765"/>
    <w:rsid w:val="003D03AF"/>
    <w:rsid w:val="003D07CA"/>
    <w:rsid w:val="003D1FE5"/>
    <w:rsid w:val="003D3735"/>
    <w:rsid w:val="003D5148"/>
    <w:rsid w:val="003D5CDF"/>
    <w:rsid w:val="003D6081"/>
    <w:rsid w:val="003D6720"/>
    <w:rsid w:val="003D6B3F"/>
    <w:rsid w:val="003D7951"/>
    <w:rsid w:val="003E030F"/>
    <w:rsid w:val="003E1EFB"/>
    <w:rsid w:val="003E2B26"/>
    <w:rsid w:val="003E4299"/>
    <w:rsid w:val="003E6D92"/>
    <w:rsid w:val="003E70B9"/>
    <w:rsid w:val="003E7812"/>
    <w:rsid w:val="003F2136"/>
    <w:rsid w:val="003F277A"/>
    <w:rsid w:val="003F29B2"/>
    <w:rsid w:val="003F31E6"/>
    <w:rsid w:val="003F40F9"/>
    <w:rsid w:val="003F4C40"/>
    <w:rsid w:val="003F52FE"/>
    <w:rsid w:val="003F580D"/>
    <w:rsid w:val="003F61D7"/>
    <w:rsid w:val="00401F3A"/>
    <w:rsid w:val="0040272E"/>
    <w:rsid w:val="00402EA0"/>
    <w:rsid w:val="00403497"/>
    <w:rsid w:val="004041C9"/>
    <w:rsid w:val="00407810"/>
    <w:rsid w:val="004079CC"/>
    <w:rsid w:val="004106A7"/>
    <w:rsid w:val="00410F85"/>
    <w:rsid w:val="00412823"/>
    <w:rsid w:val="0041382E"/>
    <w:rsid w:val="00413D00"/>
    <w:rsid w:val="00414410"/>
    <w:rsid w:val="00414992"/>
    <w:rsid w:val="00416ED0"/>
    <w:rsid w:val="004175B0"/>
    <w:rsid w:val="00421C9B"/>
    <w:rsid w:val="00422D31"/>
    <w:rsid w:val="00426041"/>
    <w:rsid w:val="00426CBC"/>
    <w:rsid w:val="00427CC0"/>
    <w:rsid w:val="0043002F"/>
    <w:rsid w:val="004303B3"/>
    <w:rsid w:val="00430927"/>
    <w:rsid w:val="0043308A"/>
    <w:rsid w:val="00433113"/>
    <w:rsid w:val="00433DCD"/>
    <w:rsid w:val="00434262"/>
    <w:rsid w:val="0043673C"/>
    <w:rsid w:val="00436801"/>
    <w:rsid w:val="00437DA0"/>
    <w:rsid w:val="004412CE"/>
    <w:rsid w:val="00442603"/>
    <w:rsid w:val="00444898"/>
    <w:rsid w:val="00445E88"/>
    <w:rsid w:val="004509F6"/>
    <w:rsid w:val="00453254"/>
    <w:rsid w:val="0045366F"/>
    <w:rsid w:val="00453F4D"/>
    <w:rsid w:val="00455D49"/>
    <w:rsid w:val="00455DF1"/>
    <w:rsid w:val="00456A0F"/>
    <w:rsid w:val="00456C53"/>
    <w:rsid w:val="00460F22"/>
    <w:rsid w:val="0046446A"/>
    <w:rsid w:val="004645D0"/>
    <w:rsid w:val="00464A97"/>
    <w:rsid w:val="00464FA6"/>
    <w:rsid w:val="004651E5"/>
    <w:rsid w:val="004676E4"/>
    <w:rsid w:val="0046796E"/>
    <w:rsid w:val="00467E09"/>
    <w:rsid w:val="004707EC"/>
    <w:rsid w:val="00470F11"/>
    <w:rsid w:val="0047173F"/>
    <w:rsid w:val="004722FE"/>
    <w:rsid w:val="00472A2C"/>
    <w:rsid w:val="004739B2"/>
    <w:rsid w:val="0047586E"/>
    <w:rsid w:val="004761F8"/>
    <w:rsid w:val="0047624F"/>
    <w:rsid w:val="00476551"/>
    <w:rsid w:val="00476764"/>
    <w:rsid w:val="00477506"/>
    <w:rsid w:val="00477994"/>
    <w:rsid w:val="00480ED0"/>
    <w:rsid w:val="00481CB0"/>
    <w:rsid w:val="00482251"/>
    <w:rsid w:val="00482CC2"/>
    <w:rsid w:val="004835E4"/>
    <w:rsid w:val="00484CF0"/>
    <w:rsid w:val="004856F7"/>
    <w:rsid w:val="00485E98"/>
    <w:rsid w:val="00487169"/>
    <w:rsid w:val="00490539"/>
    <w:rsid w:val="004907EE"/>
    <w:rsid w:val="004910C2"/>
    <w:rsid w:val="00491342"/>
    <w:rsid w:val="0049147A"/>
    <w:rsid w:val="00491B25"/>
    <w:rsid w:val="004925DF"/>
    <w:rsid w:val="004929D1"/>
    <w:rsid w:val="004939CA"/>
    <w:rsid w:val="00497D5C"/>
    <w:rsid w:val="004A243A"/>
    <w:rsid w:val="004A2756"/>
    <w:rsid w:val="004A49CD"/>
    <w:rsid w:val="004A4AED"/>
    <w:rsid w:val="004A58D1"/>
    <w:rsid w:val="004A5E88"/>
    <w:rsid w:val="004A65C0"/>
    <w:rsid w:val="004A6C11"/>
    <w:rsid w:val="004B1E66"/>
    <w:rsid w:val="004B4001"/>
    <w:rsid w:val="004B4B39"/>
    <w:rsid w:val="004B6EA9"/>
    <w:rsid w:val="004B735F"/>
    <w:rsid w:val="004B77FF"/>
    <w:rsid w:val="004C0F0C"/>
    <w:rsid w:val="004C1C90"/>
    <w:rsid w:val="004C49FA"/>
    <w:rsid w:val="004C4C9B"/>
    <w:rsid w:val="004C4EA4"/>
    <w:rsid w:val="004C7C47"/>
    <w:rsid w:val="004D0388"/>
    <w:rsid w:val="004D0478"/>
    <w:rsid w:val="004D0A93"/>
    <w:rsid w:val="004D20F5"/>
    <w:rsid w:val="004D34DD"/>
    <w:rsid w:val="004D382B"/>
    <w:rsid w:val="004D3B10"/>
    <w:rsid w:val="004D49D8"/>
    <w:rsid w:val="004D6E8F"/>
    <w:rsid w:val="004D73A7"/>
    <w:rsid w:val="004D7BA3"/>
    <w:rsid w:val="004E3C6A"/>
    <w:rsid w:val="004E46B0"/>
    <w:rsid w:val="004E645B"/>
    <w:rsid w:val="004F3AC9"/>
    <w:rsid w:val="004F3E60"/>
    <w:rsid w:val="004F40EF"/>
    <w:rsid w:val="004F46F0"/>
    <w:rsid w:val="004F4F78"/>
    <w:rsid w:val="004F55EC"/>
    <w:rsid w:val="005013A2"/>
    <w:rsid w:val="005017DC"/>
    <w:rsid w:val="0050386F"/>
    <w:rsid w:val="005041D5"/>
    <w:rsid w:val="005071D2"/>
    <w:rsid w:val="00510526"/>
    <w:rsid w:val="00510823"/>
    <w:rsid w:val="0051208D"/>
    <w:rsid w:val="00515789"/>
    <w:rsid w:val="00516DA1"/>
    <w:rsid w:val="005201F1"/>
    <w:rsid w:val="00520ACC"/>
    <w:rsid w:val="00520B0B"/>
    <w:rsid w:val="005212D4"/>
    <w:rsid w:val="00522AA1"/>
    <w:rsid w:val="0052415B"/>
    <w:rsid w:val="005266CB"/>
    <w:rsid w:val="00527FBD"/>
    <w:rsid w:val="0053069A"/>
    <w:rsid w:val="005308B0"/>
    <w:rsid w:val="00533B31"/>
    <w:rsid w:val="0053444E"/>
    <w:rsid w:val="0053510C"/>
    <w:rsid w:val="005362B4"/>
    <w:rsid w:val="0053633A"/>
    <w:rsid w:val="00536E3A"/>
    <w:rsid w:val="005400DC"/>
    <w:rsid w:val="00542CCA"/>
    <w:rsid w:val="0054309D"/>
    <w:rsid w:val="005436F3"/>
    <w:rsid w:val="00544451"/>
    <w:rsid w:val="005449D5"/>
    <w:rsid w:val="00544A6C"/>
    <w:rsid w:val="00551427"/>
    <w:rsid w:val="00551C0A"/>
    <w:rsid w:val="00554430"/>
    <w:rsid w:val="00560551"/>
    <w:rsid w:val="00561FE9"/>
    <w:rsid w:val="00562804"/>
    <w:rsid w:val="00564093"/>
    <w:rsid w:val="00564F46"/>
    <w:rsid w:val="005659B2"/>
    <w:rsid w:val="00566CB6"/>
    <w:rsid w:val="00567AAC"/>
    <w:rsid w:val="00572A2F"/>
    <w:rsid w:val="00572C28"/>
    <w:rsid w:val="00572D91"/>
    <w:rsid w:val="00574893"/>
    <w:rsid w:val="00575E03"/>
    <w:rsid w:val="00576A3A"/>
    <w:rsid w:val="00576B9E"/>
    <w:rsid w:val="00577555"/>
    <w:rsid w:val="00577910"/>
    <w:rsid w:val="005803FA"/>
    <w:rsid w:val="00583A5E"/>
    <w:rsid w:val="00590CD8"/>
    <w:rsid w:val="00593310"/>
    <w:rsid w:val="0059593D"/>
    <w:rsid w:val="00595C4D"/>
    <w:rsid w:val="00597498"/>
    <w:rsid w:val="0059767A"/>
    <w:rsid w:val="005A0462"/>
    <w:rsid w:val="005A43FC"/>
    <w:rsid w:val="005A6007"/>
    <w:rsid w:val="005A6752"/>
    <w:rsid w:val="005A6DE4"/>
    <w:rsid w:val="005A7236"/>
    <w:rsid w:val="005B08B3"/>
    <w:rsid w:val="005B0F07"/>
    <w:rsid w:val="005B16D7"/>
    <w:rsid w:val="005B1BB5"/>
    <w:rsid w:val="005B31FB"/>
    <w:rsid w:val="005B3AC2"/>
    <w:rsid w:val="005B439F"/>
    <w:rsid w:val="005B49CC"/>
    <w:rsid w:val="005B62FA"/>
    <w:rsid w:val="005B6576"/>
    <w:rsid w:val="005C09F1"/>
    <w:rsid w:val="005C0B01"/>
    <w:rsid w:val="005C1CF3"/>
    <w:rsid w:val="005C201C"/>
    <w:rsid w:val="005C37A8"/>
    <w:rsid w:val="005C3B0D"/>
    <w:rsid w:val="005C4B2D"/>
    <w:rsid w:val="005C5BC2"/>
    <w:rsid w:val="005C72E9"/>
    <w:rsid w:val="005C79F4"/>
    <w:rsid w:val="005D163E"/>
    <w:rsid w:val="005D33A6"/>
    <w:rsid w:val="005D4D03"/>
    <w:rsid w:val="005D5292"/>
    <w:rsid w:val="005D5470"/>
    <w:rsid w:val="005D637B"/>
    <w:rsid w:val="005E0829"/>
    <w:rsid w:val="005E14F6"/>
    <w:rsid w:val="005E162C"/>
    <w:rsid w:val="005E26A1"/>
    <w:rsid w:val="005E2D33"/>
    <w:rsid w:val="005E494F"/>
    <w:rsid w:val="005E5312"/>
    <w:rsid w:val="005E588E"/>
    <w:rsid w:val="005E5F0F"/>
    <w:rsid w:val="005E695B"/>
    <w:rsid w:val="005F0E22"/>
    <w:rsid w:val="005F1547"/>
    <w:rsid w:val="005F1604"/>
    <w:rsid w:val="005F24F4"/>
    <w:rsid w:val="005F2903"/>
    <w:rsid w:val="005F31D7"/>
    <w:rsid w:val="005F3AA3"/>
    <w:rsid w:val="005F537F"/>
    <w:rsid w:val="005F5931"/>
    <w:rsid w:val="005F7D07"/>
    <w:rsid w:val="0060020D"/>
    <w:rsid w:val="006023D7"/>
    <w:rsid w:val="00602794"/>
    <w:rsid w:val="00604135"/>
    <w:rsid w:val="006058CB"/>
    <w:rsid w:val="0060733C"/>
    <w:rsid w:val="0061140B"/>
    <w:rsid w:val="00613453"/>
    <w:rsid w:val="0061470B"/>
    <w:rsid w:val="00616AE1"/>
    <w:rsid w:val="00617F6B"/>
    <w:rsid w:val="0062067C"/>
    <w:rsid w:val="006214AD"/>
    <w:rsid w:val="0062541F"/>
    <w:rsid w:val="00625863"/>
    <w:rsid w:val="006260E5"/>
    <w:rsid w:val="0062647B"/>
    <w:rsid w:val="00627B69"/>
    <w:rsid w:val="00631CC2"/>
    <w:rsid w:val="00633754"/>
    <w:rsid w:val="00635E85"/>
    <w:rsid w:val="006371FF"/>
    <w:rsid w:val="006436A7"/>
    <w:rsid w:val="00643DD9"/>
    <w:rsid w:val="00644A75"/>
    <w:rsid w:val="006472A0"/>
    <w:rsid w:val="00651512"/>
    <w:rsid w:val="00654956"/>
    <w:rsid w:val="00654DE7"/>
    <w:rsid w:val="0065533C"/>
    <w:rsid w:val="00656A9D"/>
    <w:rsid w:val="00656F5E"/>
    <w:rsid w:val="00662CBC"/>
    <w:rsid w:val="006700A9"/>
    <w:rsid w:val="0067038D"/>
    <w:rsid w:val="00671A6A"/>
    <w:rsid w:val="00673F0C"/>
    <w:rsid w:val="00676A38"/>
    <w:rsid w:val="00680098"/>
    <w:rsid w:val="00680957"/>
    <w:rsid w:val="00682CFC"/>
    <w:rsid w:val="00683B13"/>
    <w:rsid w:val="00686216"/>
    <w:rsid w:val="00686325"/>
    <w:rsid w:val="00686EC4"/>
    <w:rsid w:val="00687063"/>
    <w:rsid w:val="00691425"/>
    <w:rsid w:val="00695E17"/>
    <w:rsid w:val="00696763"/>
    <w:rsid w:val="00696D1D"/>
    <w:rsid w:val="0069734A"/>
    <w:rsid w:val="006A139A"/>
    <w:rsid w:val="006A1939"/>
    <w:rsid w:val="006A303A"/>
    <w:rsid w:val="006A4427"/>
    <w:rsid w:val="006A45A4"/>
    <w:rsid w:val="006A45AE"/>
    <w:rsid w:val="006A5C3E"/>
    <w:rsid w:val="006B0367"/>
    <w:rsid w:val="006B147C"/>
    <w:rsid w:val="006B1E00"/>
    <w:rsid w:val="006B202A"/>
    <w:rsid w:val="006B4802"/>
    <w:rsid w:val="006B5097"/>
    <w:rsid w:val="006B5516"/>
    <w:rsid w:val="006B5D36"/>
    <w:rsid w:val="006B5E7D"/>
    <w:rsid w:val="006B7A09"/>
    <w:rsid w:val="006C42CE"/>
    <w:rsid w:val="006C51DA"/>
    <w:rsid w:val="006C5486"/>
    <w:rsid w:val="006C592D"/>
    <w:rsid w:val="006C5D93"/>
    <w:rsid w:val="006C74B3"/>
    <w:rsid w:val="006D209C"/>
    <w:rsid w:val="006D3791"/>
    <w:rsid w:val="006D465F"/>
    <w:rsid w:val="006D46A6"/>
    <w:rsid w:val="006D4B56"/>
    <w:rsid w:val="006D7209"/>
    <w:rsid w:val="006E11C9"/>
    <w:rsid w:val="006E31AE"/>
    <w:rsid w:val="006E4984"/>
    <w:rsid w:val="006E5E71"/>
    <w:rsid w:val="006F32BF"/>
    <w:rsid w:val="006F38F6"/>
    <w:rsid w:val="006F3989"/>
    <w:rsid w:val="006F4219"/>
    <w:rsid w:val="006F55D6"/>
    <w:rsid w:val="006F575A"/>
    <w:rsid w:val="006F79D7"/>
    <w:rsid w:val="00700A73"/>
    <w:rsid w:val="007015E9"/>
    <w:rsid w:val="00702A10"/>
    <w:rsid w:val="0070484E"/>
    <w:rsid w:val="00704ED8"/>
    <w:rsid w:val="0070601C"/>
    <w:rsid w:val="00706787"/>
    <w:rsid w:val="00706C45"/>
    <w:rsid w:val="00707008"/>
    <w:rsid w:val="00710993"/>
    <w:rsid w:val="00712884"/>
    <w:rsid w:val="00713C6D"/>
    <w:rsid w:val="00715090"/>
    <w:rsid w:val="00715379"/>
    <w:rsid w:val="0071587A"/>
    <w:rsid w:val="007159EB"/>
    <w:rsid w:val="007160E0"/>
    <w:rsid w:val="00716E3F"/>
    <w:rsid w:val="00717DE7"/>
    <w:rsid w:val="00720629"/>
    <w:rsid w:val="00720B16"/>
    <w:rsid w:val="007219C5"/>
    <w:rsid w:val="007223FC"/>
    <w:rsid w:val="00723E51"/>
    <w:rsid w:val="00725F23"/>
    <w:rsid w:val="007267EB"/>
    <w:rsid w:val="0072737A"/>
    <w:rsid w:val="00730159"/>
    <w:rsid w:val="00730AC8"/>
    <w:rsid w:val="00730C0D"/>
    <w:rsid w:val="0073129C"/>
    <w:rsid w:val="007339DB"/>
    <w:rsid w:val="007356FC"/>
    <w:rsid w:val="00735CE3"/>
    <w:rsid w:val="00736DD5"/>
    <w:rsid w:val="0074101E"/>
    <w:rsid w:val="0074150A"/>
    <w:rsid w:val="00741FEC"/>
    <w:rsid w:val="007433D3"/>
    <w:rsid w:val="00743A86"/>
    <w:rsid w:val="00743F1B"/>
    <w:rsid w:val="0074430F"/>
    <w:rsid w:val="007448B9"/>
    <w:rsid w:val="007468E9"/>
    <w:rsid w:val="00746BED"/>
    <w:rsid w:val="00747D71"/>
    <w:rsid w:val="00750288"/>
    <w:rsid w:val="00751BF1"/>
    <w:rsid w:val="007537F1"/>
    <w:rsid w:val="00756643"/>
    <w:rsid w:val="007567FF"/>
    <w:rsid w:val="00756DA9"/>
    <w:rsid w:val="0075794D"/>
    <w:rsid w:val="007608C8"/>
    <w:rsid w:val="00761696"/>
    <w:rsid w:val="00761834"/>
    <w:rsid w:val="00761D56"/>
    <w:rsid w:val="007620D8"/>
    <w:rsid w:val="007631A8"/>
    <w:rsid w:val="0076420A"/>
    <w:rsid w:val="0076492F"/>
    <w:rsid w:val="00764D0F"/>
    <w:rsid w:val="00764ED5"/>
    <w:rsid w:val="007665AE"/>
    <w:rsid w:val="007665E7"/>
    <w:rsid w:val="00767809"/>
    <w:rsid w:val="00773845"/>
    <w:rsid w:val="0077605D"/>
    <w:rsid w:val="00780896"/>
    <w:rsid w:val="00780E48"/>
    <w:rsid w:val="00780FF2"/>
    <w:rsid w:val="007815A1"/>
    <w:rsid w:val="00783BF6"/>
    <w:rsid w:val="0078501F"/>
    <w:rsid w:val="00785229"/>
    <w:rsid w:val="00791744"/>
    <w:rsid w:val="0079186B"/>
    <w:rsid w:val="007919EE"/>
    <w:rsid w:val="00793312"/>
    <w:rsid w:val="00794B5C"/>
    <w:rsid w:val="00796A9E"/>
    <w:rsid w:val="00796D05"/>
    <w:rsid w:val="00797687"/>
    <w:rsid w:val="007A0BE3"/>
    <w:rsid w:val="007A25AF"/>
    <w:rsid w:val="007A30A5"/>
    <w:rsid w:val="007A5FB9"/>
    <w:rsid w:val="007A664A"/>
    <w:rsid w:val="007A70C6"/>
    <w:rsid w:val="007B11D0"/>
    <w:rsid w:val="007B1CB5"/>
    <w:rsid w:val="007B27E9"/>
    <w:rsid w:val="007B2987"/>
    <w:rsid w:val="007B6A8F"/>
    <w:rsid w:val="007B70D3"/>
    <w:rsid w:val="007C1116"/>
    <w:rsid w:val="007C3AA6"/>
    <w:rsid w:val="007C4EF2"/>
    <w:rsid w:val="007C55D4"/>
    <w:rsid w:val="007D093F"/>
    <w:rsid w:val="007D0BE8"/>
    <w:rsid w:val="007D0D6D"/>
    <w:rsid w:val="007D36CA"/>
    <w:rsid w:val="007D4C02"/>
    <w:rsid w:val="007D5920"/>
    <w:rsid w:val="007D6496"/>
    <w:rsid w:val="007D6731"/>
    <w:rsid w:val="007D6837"/>
    <w:rsid w:val="007D7001"/>
    <w:rsid w:val="007D782F"/>
    <w:rsid w:val="007D7E87"/>
    <w:rsid w:val="007E1666"/>
    <w:rsid w:val="007E1ECC"/>
    <w:rsid w:val="007E2A09"/>
    <w:rsid w:val="007E40DD"/>
    <w:rsid w:val="007E4D5F"/>
    <w:rsid w:val="007E5A59"/>
    <w:rsid w:val="007E7C73"/>
    <w:rsid w:val="007F0225"/>
    <w:rsid w:val="007F0AC8"/>
    <w:rsid w:val="007F10CE"/>
    <w:rsid w:val="007F167C"/>
    <w:rsid w:val="007F2066"/>
    <w:rsid w:val="007F2B93"/>
    <w:rsid w:val="007F4005"/>
    <w:rsid w:val="007F64E9"/>
    <w:rsid w:val="007F7EFE"/>
    <w:rsid w:val="007F7F51"/>
    <w:rsid w:val="00800D68"/>
    <w:rsid w:val="0080100B"/>
    <w:rsid w:val="00801BBC"/>
    <w:rsid w:val="00802684"/>
    <w:rsid w:val="00804380"/>
    <w:rsid w:val="00804490"/>
    <w:rsid w:val="00805FBA"/>
    <w:rsid w:val="00806655"/>
    <w:rsid w:val="00806B2A"/>
    <w:rsid w:val="008071EA"/>
    <w:rsid w:val="00810DA4"/>
    <w:rsid w:val="00813597"/>
    <w:rsid w:val="00814221"/>
    <w:rsid w:val="00814A29"/>
    <w:rsid w:val="00825793"/>
    <w:rsid w:val="008259B8"/>
    <w:rsid w:val="00825ADA"/>
    <w:rsid w:val="00825DEA"/>
    <w:rsid w:val="0082667C"/>
    <w:rsid w:val="008269BB"/>
    <w:rsid w:val="00827362"/>
    <w:rsid w:val="008279A8"/>
    <w:rsid w:val="00827E59"/>
    <w:rsid w:val="0083160C"/>
    <w:rsid w:val="0083338A"/>
    <w:rsid w:val="00833923"/>
    <w:rsid w:val="00834848"/>
    <w:rsid w:val="00834CDA"/>
    <w:rsid w:val="00835A8D"/>
    <w:rsid w:val="008362EF"/>
    <w:rsid w:val="008367C0"/>
    <w:rsid w:val="00840F68"/>
    <w:rsid w:val="00843EBB"/>
    <w:rsid w:val="008443EB"/>
    <w:rsid w:val="00844E1C"/>
    <w:rsid w:val="00847A9C"/>
    <w:rsid w:val="00855674"/>
    <w:rsid w:val="0086291A"/>
    <w:rsid w:val="00862D4F"/>
    <w:rsid w:val="00871456"/>
    <w:rsid w:val="00871856"/>
    <w:rsid w:val="00872ABA"/>
    <w:rsid w:val="00872FCE"/>
    <w:rsid w:val="00874EBD"/>
    <w:rsid w:val="008761FC"/>
    <w:rsid w:val="00877D2F"/>
    <w:rsid w:val="008800C1"/>
    <w:rsid w:val="00881137"/>
    <w:rsid w:val="00882933"/>
    <w:rsid w:val="00883A75"/>
    <w:rsid w:val="00883F98"/>
    <w:rsid w:val="00884396"/>
    <w:rsid w:val="008843FC"/>
    <w:rsid w:val="008862BD"/>
    <w:rsid w:val="008917E7"/>
    <w:rsid w:val="008962E9"/>
    <w:rsid w:val="0089653C"/>
    <w:rsid w:val="00896CA9"/>
    <w:rsid w:val="0089766E"/>
    <w:rsid w:val="00897AEF"/>
    <w:rsid w:val="008A0DE6"/>
    <w:rsid w:val="008A1FF5"/>
    <w:rsid w:val="008A233D"/>
    <w:rsid w:val="008A237E"/>
    <w:rsid w:val="008A447D"/>
    <w:rsid w:val="008A4AF5"/>
    <w:rsid w:val="008A4EFA"/>
    <w:rsid w:val="008A62A5"/>
    <w:rsid w:val="008A7E2E"/>
    <w:rsid w:val="008B3124"/>
    <w:rsid w:val="008B5749"/>
    <w:rsid w:val="008B6744"/>
    <w:rsid w:val="008B72A5"/>
    <w:rsid w:val="008B7762"/>
    <w:rsid w:val="008C0421"/>
    <w:rsid w:val="008C1918"/>
    <w:rsid w:val="008C1A51"/>
    <w:rsid w:val="008C2A4A"/>
    <w:rsid w:val="008C2F29"/>
    <w:rsid w:val="008C421B"/>
    <w:rsid w:val="008C4AD0"/>
    <w:rsid w:val="008C6B30"/>
    <w:rsid w:val="008D3033"/>
    <w:rsid w:val="008D493B"/>
    <w:rsid w:val="008D4A7C"/>
    <w:rsid w:val="008D51DA"/>
    <w:rsid w:val="008D53A9"/>
    <w:rsid w:val="008D5615"/>
    <w:rsid w:val="008D5F0D"/>
    <w:rsid w:val="008D683A"/>
    <w:rsid w:val="008E0359"/>
    <w:rsid w:val="008E0805"/>
    <w:rsid w:val="008E0FFB"/>
    <w:rsid w:val="008E12B9"/>
    <w:rsid w:val="008E2B4D"/>
    <w:rsid w:val="008E3094"/>
    <w:rsid w:val="008E3295"/>
    <w:rsid w:val="008E55EA"/>
    <w:rsid w:val="008E5926"/>
    <w:rsid w:val="008E75C5"/>
    <w:rsid w:val="008E7887"/>
    <w:rsid w:val="008E7E6E"/>
    <w:rsid w:val="008F1194"/>
    <w:rsid w:val="008F1884"/>
    <w:rsid w:val="008F237A"/>
    <w:rsid w:val="008F2796"/>
    <w:rsid w:val="008F34D3"/>
    <w:rsid w:val="008F6A2F"/>
    <w:rsid w:val="008F6B5E"/>
    <w:rsid w:val="008F755E"/>
    <w:rsid w:val="008F79D0"/>
    <w:rsid w:val="009008B1"/>
    <w:rsid w:val="00902015"/>
    <w:rsid w:val="00903531"/>
    <w:rsid w:val="00904A65"/>
    <w:rsid w:val="00905793"/>
    <w:rsid w:val="00907263"/>
    <w:rsid w:val="009123F6"/>
    <w:rsid w:val="00913A85"/>
    <w:rsid w:val="00913E2A"/>
    <w:rsid w:val="0091468D"/>
    <w:rsid w:val="0091475E"/>
    <w:rsid w:val="009163B6"/>
    <w:rsid w:val="00916B61"/>
    <w:rsid w:val="00917ED2"/>
    <w:rsid w:val="00917F42"/>
    <w:rsid w:val="009205E3"/>
    <w:rsid w:val="009217A9"/>
    <w:rsid w:val="00922F29"/>
    <w:rsid w:val="009231E6"/>
    <w:rsid w:val="00924926"/>
    <w:rsid w:val="00924ED9"/>
    <w:rsid w:val="009277E9"/>
    <w:rsid w:val="0093042C"/>
    <w:rsid w:val="00931316"/>
    <w:rsid w:val="00933086"/>
    <w:rsid w:val="00934A0F"/>
    <w:rsid w:val="00935CA2"/>
    <w:rsid w:val="00937ED6"/>
    <w:rsid w:val="009406E7"/>
    <w:rsid w:val="00940B04"/>
    <w:rsid w:val="00944AB3"/>
    <w:rsid w:val="009465F6"/>
    <w:rsid w:val="009469A2"/>
    <w:rsid w:val="00950141"/>
    <w:rsid w:val="00950FC7"/>
    <w:rsid w:val="00951D07"/>
    <w:rsid w:val="00953FB3"/>
    <w:rsid w:val="0095455D"/>
    <w:rsid w:val="0095482D"/>
    <w:rsid w:val="009563AA"/>
    <w:rsid w:val="009623A4"/>
    <w:rsid w:val="00963229"/>
    <w:rsid w:val="0096515A"/>
    <w:rsid w:val="00965C79"/>
    <w:rsid w:val="00966601"/>
    <w:rsid w:val="00967094"/>
    <w:rsid w:val="00970079"/>
    <w:rsid w:val="009700A9"/>
    <w:rsid w:val="00970A79"/>
    <w:rsid w:val="00973C9C"/>
    <w:rsid w:val="009752BD"/>
    <w:rsid w:val="009758CF"/>
    <w:rsid w:val="0098672A"/>
    <w:rsid w:val="00990141"/>
    <w:rsid w:val="00990D6F"/>
    <w:rsid w:val="0099157D"/>
    <w:rsid w:val="00993A67"/>
    <w:rsid w:val="00994D7F"/>
    <w:rsid w:val="009962A0"/>
    <w:rsid w:val="0099644E"/>
    <w:rsid w:val="00996F8C"/>
    <w:rsid w:val="009A0627"/>
    <w:rsid w:val="009A0875"/>
    <w:rsid w:val="009A24C3"/>
    <w:rsid w:val="009A44CB"/>
    <w:rsid w:val="009A454D"/>
    <w:rsid w:val="009A472B"/>
    <w:rsid w:val="009A5C14"/>
    <w:rsid w:val="009A7763"/>
    <w:rsid w:val="009A7A9E"/>
    <w:rsid w:val="009A7B95"/>
    <w:rsid w:val="009B05E8"/>
    <w:rsid w:val="009B05F1"/>
    <w:rsid w:val="009B126C"/>
    <w:rsid w:val="009B1A69"/>
    <w:rsid w:val="009B2CF2"/>
    <w:rsid w:val="009B45E7"/>
    <w:rsid w:val="009B493A"/>
    <w:rsid w:val="009B4DE3"/>
    <w:rsid w:val="009B62CB"/>
    <w:rsid w:val="009B6612"/>
    <w:rsid w:val="009B6A55"/>
    <w:rsid w:val="009C158C"/>
    <w:rsid w:val="009C196E"/>
    <w:rsid w:val="009C3B52"/>
    <w:rsid w:val="009C4A6F"/>
    <w:rsid w:val="009C55F9"/>
    <w:rsid w:val="009C6025"/>
    <w:rsid w:val="009D161B"/>
    <w:rsid w:val="009D18A0"/>
    <w:rsid w:val="009D1EF0"/>
    <w:rsid w:val="009D478F"/>
    <w:rsid w:val="009D479C"/>
    <w:rsid w:val="009D5125"/>
    <w:rsid w:val="009D705F"/>
    <w:rsid w:val="009D7772"/>
    <w:rsid w:val="009D7E79"/>
    <w:rsid w:val="009E0B76"/>
    <w:rsid w:val="009E1143"/>
    <w:rsid w:val="009E2925"/>
    <w:rsid w:val="009E409E"/>
    <w:rsid w:val="009E63C4"/>
    <w:rsid w:val="009E7131"/>
    <w:rsid w:val="009F0065"/>
    <w:rsid w:val="009F0651"/>
    <w:rsid w:val="009F0908"/>
    <w:rsid w:val="009F0DCA"/>
    <w:rsid w:val="009F1BCB"/>
    <w:rsid w:val="009F2488"/>
    <w:rsid w:val="009F3650"/>
    <w:rsid w:val="009F6E81"/>
    <w:rsid w:val="009F7321"/>
    <w:rsid w:val="00A00194"/>
    <w:rsid w:val="00A001C6"/>
    <w:rsid w:val="00A00244"/>
    <w:rsid w:val="00A02BF2"/>
    <w:rsid w:val="00A031F9"/>
    <w:rsid w:val="00A05A0B"/>
    <w:rsid w:val="00A05E0C"/>
    <w:rsid w:val="00A12FE6"/>
    <w:rsid w:val="00A14944"/>
    <w:rsid w:val="00A2017E"/>
    <w:rsid w:val="00A2337E"/>
    <w:rsid w:val="00A24A28"/>
    <w:rsid w:val="00A24FA6"/>
    <w:rsid w:val="00A2547A"/>
    <w:rsid w:val="00A261BA"/>
    <w:rsid w:val="00A26D65"/>
    <w:rsid w:val="00A37578"/>
    <w:rsid w:val="00A403A8"/>
    <w:rsid w:val="00A404B2"/>
    <w:rsid w:val="00A406D2"/>
    <w:rsid w:val="00A41901"/>
    <w:rsid w:val="00A428F3"/>
    <w:rsid w:val="00A44630"/>
    <w:rsid w:val="00A446D4"/>
    <w:rsid w:val="00A4582E"/>
    <w:rsid w:val="00A466C5"/>
    <w:rsid w:val="00A472C5"/>
    <w:rsid w:val="00A50CD1"/>
    <w:rsid w:val="00A513F1"/>
    <w:rsid w:val="00A528CC"/>
    <w:rsid w:val="00A52EF0"/>
    <w:rsid w:val="00A5472F"/>
    <w:rsid w:val="00A54C4F"/>
    <w:rsid w:val="00A560DE"/>
    <w:rsid w:val="00A565E9"/>
    <w:rsid w:val="00A56F02"/>
    <w:rsid w:val="00A57FD5"/>
    <w:rsid w:val="00A61B87"/>
    <w:rsid w:val="00A62028"/>
    <w:rsid w:val="00A6320B"/>
    <w:rsid w:val="00A640E4"/>
    <w:rsid w:val="00A6444C"/>
    <w:rsid w:val="00A64491"/>
    <w:rsid w:val="00A66DA4"/>
    <w:rsid w:val="00A7441C"/>
    <w:rsid w:val="00A75036"/>
    <w:rsid w:val="00A7606A"/>
    <w:rsid w:val="00A7702A"/>
    <w:rsid w:val="00A80332"/>
    <w:rsid w:val="00A80D18"/>
    <w:rsid w:val="00A82F73"/>
    <w:rsid w:val="00A84413"/>
    <w:rsid w:val="00A85069"/>
    <w:rsid w:val="00A851D3"/>
    <w:rsid w:val="00A85C99"/>
    <w:rsid w:val="00A86059"/>
    <w:rsid w:val="00A8682A"/>
    <w:rsid w:val="00A877EA"/>
    <w:rsid w:val="00A90434"/>
    <w:rsid w:val="00A90848"/>
    <w:rsid w:val="00A90D5D"/>
    <w:rsid w:val="00A919A8"/>
    <w:rsid w:val="00A94817"/>
    <w:rsid w:val="00A95E04"/>
    <w:rsid w:val="00A9702D"/>
    <w:rsid w:val="00AA084D"/>
    <w:rsid w:val="00AA09CE"/>
    <w:rsid w:val="00AA109A"/>
    <w:rsid w:val="00AA184D"/>
    <w:rsid w:val="00AA21D4"/>
    <w:rsid w:val="00AA3ADF"/>
    <w:rsid w:val="00AA4945"/>
    <w:rsid w:val="00AA4F18"/>
    <w:rsid w:val="00AA7490"/>
    <w:rsid w:val="00AA7EB9"/>
    <w:rsid w:val="00AB0321"/>
    <w:rsid w:val="00AB21EA"/>
    <w:rsid w:val="00AB29DA"/>
    <w:rsid w:val="00AB2D5C"/>
    <w:rsid w:val="00AB3BFD"/>
    <w:rsid w:val="00AB51C0"/>
    <w:rsid w:val="00AB538D"/>
    <w:rsid w:val="00AB70F7"/>
    <w:rsid w:val="00AB7AD4"/>
    <w:rsid w:val="00AC12F5"/>
    <w:rsid w:val="00AC1749"/>
    <w:rsid w:val="00AC2A9D"/>
    <w:rsid w:val="00AC56CE"/>
    <w:rsid w:val="00AC59CF"/>
    <w:rsid w:val="00AC604F"/>
    <w:rsid w:val="00AC71B2"/>
    <w:rsid w:val="00AD2F15"/>
    <w:rsid w:val="00AD34FD"/>
    <w:rsid w:val="00AD4224"/>
    <w:rsid w:val="00AD4E75"/>
    <w:rsid w:val="00AD6DC7"/>
    <w:rsid w:val="00AD74C8"/>
    <w:rsid w:val="00AD757C"/>
    <w:rsid w:val="00AE3181"/>
    <w:rsid w:val="00AE357C"/>
    <w:rsid w:val="00AE6795"/>
    <w:rsid w:val="00AE6ED6"/>
    <w:rsid w:val="00AE7EDF"/>
    <w:rsid w:val="00AF07F9"/>
    <w:rsid w:val="00AF165B"/>
    <w:rsid w:val="00AF16C9"/>
    <w:rsid w:val="00AF3257"/>
    <w:rsid w:val="00AF4186"/>
    <w:rsid w:val="00B01969"/>
    <w:rsid w:val="00B04BED"/>
    <w:rsid w:val="00B06EDD"/>
    <w:rsid w:val="00B10470"/>
    <w:rsid w:val="00B10AEC"/>
    <w:rsid w:val="00B12515"/>
    <w:rsid w:val="00B1367C"/>
    <w:rsid w:val="00B16963"/>
    <w:rsid w:val="00B2044E"/>
    <w:rsid w:val="00B234B3"/>
    <w:rsid w:val="00B24FA2"/>
    <w:rsid w:val="00B27D31"/>
    <w:rsid w:val="00B30BB7"/>
    <w:rsid w:val="00B3130A"/>
    <w:rsid w:val="00B320FF"/>
    <w:rsid w:val="00B32B9E"/>
    <w:rsid w:val="00B32FB1"/>
    <w:rsid w:val="00B3348F"/>
    <w:rsid w:val="00B35AFE"/>
    <w:rsid w:val="00B40329"/>
    <w:rsid w:val="00B40B8D"/>
    <w:rsid w:val="00B4103B"/>
    <w:rsid w:val="00B432A2"/>
    <w:rsid w:val="00B45440"/>
    <w:rsid w:val="00B53BE1"/>
    <w:rsid w:val="00B5466A"/>
    <w:rsid w:val="00B546E5"/>
    <w:rsid w:val="00B54E07"/>
    <w:rsid w:val="00B565C8"/>
    <w:rsid w:val="00B56E68"/>
    <w:rsid w:val="00B575ED"/>
    <w:rsid w:val="00B57F78"/>
    <w:rsid w:val="00B62F9E"/>
    <w:rsid w:val="00B6326B"/>
    <w:rsid w:val="00B66F7A"/>
    <w:rsid w:val="00B67ED0"/>
    <w:rsid w:val="00B70E53"/>
    <w:rsid w:val="00B71451"/>
    <w:rsid w:val="00B74278"/>
    <w:rsid w:val="00B74705"/>
    <w:rsid w:val="00B74730"/>
    <w:rsid w:val="00B75149"/>
    <w:rsid w:val="00B803D6"/>
    <w:rsid w:val="00B83257"/>
    <w:rsid w:val="00B903E3"/>
    <w:rsid w:val="00B911C2"/>
    <w:rsid w:val="00B91DF8"/>
    <w:rsid w:val="00B93396"/>
    <w:rsid w:val="00B95300"/>
    <w:rsid w:val="00B9543E"/>
    <w:rsid w:val="00B9594C"/>
    <w:rsid w:val="00B96F03"/>
    <w:rsid w:val="00B9734C"/>
    <w:rsid w:val="00BA0B05"/>
    <w:rsid w:val="00BA1C6F"/>
    <w:rsid w:val="00BA314C"/>
    <w:rsid w:val="00BA6C1F"/>
    <w:rsid w:val="00BA6D21"/>
    <w:rsid w:val="00BB1E94"/>
    <w:rsid w:val="00BB57F4"/>
    <w:rsid w:val="00BB64DA"/>
    <w:rsid w:val="00BB7712"/>
    <w:rsid w:val="00BC177D"/>
    <w:rsid w:val="00BC1A41"/>
    <w:rsid w:val="00BC2114"/>
    <w:rsid w:val="00BC2908"/>
    <w:rsid w:val="00BC3FC3"/>
    <w:rsid w:val="00BC5224"/>
    <w:rsid w:val="00BC6BAB"/>
    <w:rsid w:val="00BC6FDF"/>
    <w:rsid w:val="00BC7AE4"/>
    <w:rsid w:val="00BC7D79"/>
    <w:rsid w:val="00BD02DD"/>
    <w:rsid w:val="00BD09E2"/>
    <w:rsid w:val="00BD4A4B"/>
    <w:rsid w:val="00BD4C27"/>
    <w:rsid w:val="00BD626E"/>
    <w:rsid w:val="00BD6E92"/>
    <w:rsid w:val="00BE05BB"/>
    <w:rsid w:val="00BE0CF7"/>
    <w:rsid w:val="00BE0F25"/>
    <w:rsid w:val="00BE207E"/>
    <w:rsid w:val="00BE274E"/>
    <w:rsid w:val="00BE336C"/>
    <w:rsid w:val="00BE4D2C"/>
    <w:rsid w:val="00BE5519"/>
    <w:rsid w:val="00BE7988"/>
    <w:rsid w:val="00BE7F6B"/>
    <w:rsid w:val="00BF0382"/>
    <w:rsid w:val="00BF082E"/>
    <w:rsid w:val="00BF0FC4"/>
    <w:rsid w:val="00BF1E0A"/>
    <w:rsid w:val="00BF27E9"/>
    <w:rsid w:val="00BF6F76"/>
    <w:rsid w:val="00C02978"/>
    <w:rsid w:val="00C034A9"/>
    <w:rsid w:val="00C03859"/>
    <w:rsid w:val="00C03DBF"/>
    <w:rsid w:val="00C04FA0"/>
    <w:rsid w:val="00C05E01"/>
    <w:rsid w:val="00C05E42"/>
    <w:rsid w:val="00C06075"/>
    <w:rsid w:val="00C063F1"/>
    <w:rsid w:val="00C078BD"/>
    <w:rsid w:val="00C13805"/>
    <w:rsid w:val="00C15CA6"/>
    <w:rsid w:val="00C16807"/>
    <w:rsid w:val="00C2025F"/>
    <w:rsid w:val="00C214FA"/>
    <w:rsid w:val="00C2167D"/>
    <w:rsid w:val="00C21BCC"/>
    <w:rsid w:val="00C228FA"/>
    <w:rsid w:val="00C23C07"/>
    <w:rsid w:val="00C2403A"/>
    <w:rsid w:val="00C24CC2"/>
    <w:rsid w:val="00C266D3"/>
    <w:rsid w:val="00C266DA"/>
    <w:rsid w:val="00C26FE9"/>
    <w:rsid w:val="00C27BD3"/>
    <w:rsid w:val="00C27D03"/>
    <w:rsid w:val="00C31095"/>
    <w:rsid w:val="00C31607"/>
    <w:rsid w:val="00C32321"/>
    <w:rsid w:val="00C32332"/>
    <w:rsid w:val="00C349F0"/>
    <w:rsid w:val="00C34A1E"/>
    <w:rsid w:val="00C3720B"/>
    <w:rsid w:val="00C41423"/>
    <w:rsid w:val="00C43335"/>
    <w:rsid w:val="00C4334F"/>
    <w:rsid w:val="00C43E9F"/>
    <w:rsid w:val="00C4434A"/>
    <w:rsid w:val="00C44974"/>
    <w:rsid w:val="00C44E9E"/>
    <w:rsid w:val="00C46098"/>
    <w:rsid w:val="00C46439"/>
    <w:rsid w:val="00C46B32"/>
    <w:rsid w:val="00C47A26"/>
    <w:rsid w:val="00C50E1F"/>
    <w:rsid w:val="00C516EC"/>
    <w:rsid w:val="00C53DC9"/>
    <w:rsid w:val="00C571A9"/>
    <w:rsid w:val="00C57A73"/>
    <w:rsid w:val="00C615A7"/>
    <w:rsid w:val="00C616BF"/>
    <w:rsid w:val="00C62C5D"/>
    <w:rsid w:val="00C64873"/>
    <w:rsid w:val="00C65A0A"/>
    <w:rsid w:val="00C66628"/>
    <w:rsid w:val="00C71BA5"/>
    <w:rsid w:val="00C73961"/>
    <w:rsid w:val="00C7422F"/>
    <w:rsid w:val="00C751BF"/>
    <w:rsid w:val="00C7651A"/>
    <w:rsid w:val="00C77280"/>
    <w:rsid w:val="00C812AA"/>
    <w:rsid w:val="00C81AD1"/>
    <w:rsid w:val="00C83111"/>
    <w:rsid w:val="00C84265"/>
    <w:rsid w:val="00C84ED5"/>
    <w:rsid w:val="00C9070B"/>
    <w:rsid w:val="00C94791"/>
    <w:rsid w:val="00C96465"/>
    <w:rsid w:val="00C96D0A"/>
    <w:rsid w:val="00CA001B"/>
    <w:rsid w:val="00CA01AD"/>
    <w:rsid w:val="00CA1A52"/>
    <w:rsid w:val="00CA2625"/>
    <w:rsid w:val="00CA3024"/>
    <w:rsid w:val="00CA3524"/>
    <w:rsid w:val="00CA3E46"/>
    <w:rsid w:val="00CA5475"/>
    <w:rsid w:val="00CA6FE3"/>
    <w:rsid w:val="00CB0E61"/>
    <w:rsid w:val="00CB19DA"/>
    <w:rsid w:val="00CB1BF5"/>
    <w:rsid w:val="00CB3AF4"/>
    <w:rsid w:val="00CB3F45"/>
    <w:rsid w:val="00CB40A0"/>
    <w:rsid w:val="00CB44F6"/>
    <w:rsid w:val="00CB51FF"/>
    <w:rsid w:val="00CB7F06"/>
    <w:rsid w:val="00CC0334"/>
    <w:rsid w:val="00CC1692"/>
    <w:rsid w:val="00CC1B8B"/>
    <w:rsid w:val="00CC1DF5"/>
    <w:rsid w:val="00CC3A59"/>
    <w:rsid w:val="00CC4253"/>
    <w:rsid w:val="00CC4804"/>
    <w:rsid w:val="00CC5133"/>
    <w:rsid w:val="00CC59AB"/>
    <w:rsid w:val="00CC5F27"/>
    <w:rsid w:val="00CC63FE"/>
    <w:rsid w:val="00CC7437"/>
    <w:rsid w:val="00CD1841"/>
    <w:rsid w:val="00CD20E1"/>
    <w:rsid w:val="00CD3BBB"/>
    <w:rsid w:val="00CD3C54"/>
    <w:rsid w:val="00CD492D"/>
    <w:rsid w:val="00CE3521"/>
    <w:rsid w:val="00CE3BC2"/>
    <w:rsid w:val="00CE5723"/>
    <w:rsid w:val="00CE6ED8"/>
    <w:rsid w:val="00CE74C3"/>
    <w:rsid w:val="00CF1168"/>
    <w:rsid w:val="00CF1C88"/>
    <w:rsid w:val="00CF3FC7"/>
    <w:rsid w:val="00CF4841"/>
    <w:rsid w:val="00CF5493"/>
    <w:rsid w:val="00CF67D8"/>
    <w:rsid w:val="00CF694E"/>
    <w:rsid w:val="00CF6BF4"/>
    <w:rsid w:val="00CF7DE9"/>
    <w:rsid w:val="00D01398"/>
    <w:rsid w:val="00D0189D"/>
    <w:rsid w:val="00D04528"/>
    <w:rsid w:val="00D050BA"/>
    <w:rsid w:val="00D05E32"/>
    <w:rsid w:val="00D06FC6"/>
    <w:rsid w:val="00D106A3"/>
    <w:rsid w:val="00D11CE7"/>
    <w:rsid w:val="00D12281"/>
    <w:rsid w:val="00D14D03"/>
    <w:rsid w:val="00D174F0"/>
    <w:rsid w:val="00D17707"/>
    <w:rsid w:val="00D26B1B"/>
    <w:rsid w:val="00D2713F"/>
    <w:rsid w:val="00D2772F"/>
    <w:rsid w:val="00D3079F"/>
    <w:rsid w:val="00D30C5E"/>
    <w:rsid w:val="00D3100A"/>
    <w:rsid w:val="00D312EB"/>
    <w:rsid w:val="00D3348F"/>
    <w:rsid w:val="00D3413F"/>
    <w:rsid w:val="00D3483B"/>
    <w:rsid w:val="00D3497A"/>
    <w:rsid w:val="00D373B0"/>
    <w:rsid w:val="00D40C75"/>
    <w:rsid w:val="00D40F22"/>
    <w:rsid w:val="00D4142C"/>
    <w:rsid w:val="00D4229B"/>
    <w:rsid w:val="00D42F0B"/>
    <w:rsid w:val="00D45C32"/>
    <w:rsid w:val="00D462AD"/>
    <w:rsid w:val="00D46FF7"/>
    <w:rsid w:val="00D47AD5"/>
    <w:rsid w:val="00D47D4C"/>
    <w:rsid w:val="00D518C3"/>
    <w:rsid w:val="00D51C09"/>
    <w:rsid w:val="00D532C6"/>
    <w:rsid w:val="00D5426B"/>
    <w:rsid w:val="00D5599A"/>
    <w:rsid w:val="00D55B21"/>
    <w:rsid w:val="00D569AD"/>
    <w:rsid w:val="00D605E5"/>
    <w:rsid w:val="00D62A8B"/>
    <w:rsid w:val="00D71595"/>
    <w:rsid w:val="00D71B33"/>
    <w:rsid w:val="00D72158"/>
    <w:rsid w:val="00D740F4"/>
    <w:rsid w:val="00D802FD"/>
    <w:rsid w:val="00D8162D"/>
    <w:rsid w:val="00D869C5"/>
    <w:rsid w:val="00D932E1"/>
    <w:rsid w:val="00D937A6"/>
    <w:rsid w:val="00D94A5A"/>
    <w:rsid w:val="00D95166"/>
    <w:rsid w:val="00D97721"/>
    <w:rsid w:val="00DA0427"/>
    <w:rsid w:val="00DA05B7"/>
    <w:rsid w:val="00DA127D"/>
    <w:rsid w:val="00DA266F"/>
    <w:rsid w:val="00DA26A7"/>
    <w:rsid w:val="00DA2928"/>
    <w:rsid w:val="00DA30E8"/>
    <w:rsid w:val="00DA3AE2"/>
    <w:rsid w:val="00DA3B33"/>
    <w:rsid w:val="00DA42A3"/>
    <w:rsid w:val="00DA5B4D"/>
    <w:rsid w:val="00DA7075"/>
    <w:rsid w:val="00DA74A2"/>
    <w:rsid w:val="00DB121B"/>
    <w:rsid w:val="00DB6664"/>
    <w:rsid w:val="00DB73FB"/>
    <w:rsid w:val="00DB7CD4"/>
    <w:rsid w:val="00DC0DBE"/>
    <w:rsid w:val="00DC429D"/>
    <w:rsid w:val="00DC6E17"/>
    <w:rsid w:val="00DC6F8F"/>
    <w:rsid w:val="00DD26B7"/>
    <w:rsid w:val="00DD35D4"/>
    <w:rsid w:val="00DD4DCA"/>
    <w:rsid w:val="00DD5181"/>
    <w:rsid w:val="00DD5CCB"/>
    <w:rsid w:val="00DD6003"/>
    <w:rsid w:val="00DD7B1D"/>
    <w:rsid w:val="00DE1A4C"/>
    <w:rsid w:val="00DE285A"/>
    <w:rsid w:val="00DE2F3F"/>
    <w:rsid w:val="00DE4AFA"/>
    <w:rsid w:val="00DE5417"/>
    <w:rsid w:val="00DE5630"/>
    <w:rsid w:val="00DE7227"/>
    <w:rsid w:val="00DE76FC"/>
    <w:rsid w:val="00DF3789"/>
    <w:rsid w:val="00DF3F22"/>
    <w:rsid w:val="00DF4241"/>
    <w:rsid w:val="00DF45B4"/>
    <w:rsid w:val="00DF4BAB"/>
    <w:rsid w:val="00DF5D14"/>
    <w:rsid w:val="00DF608E"/>
    <w:rsid w:val="00DF6CC5"/>
    <w:rsid w:val="00DF6DEE"/>
    <w:rsid w:val="00DF6FF1"/>
    <w:rsid w:val="00DF76E0"/>
    <w:rsid w:val="00E0139A"/>
    <w:rsid w:val="00E015A9"/>
    <w:rsid w:val="00E02883"/>
    <w:rsid w:val="00E04029"/>
    <w:rsid w:val="00E04242"/>
    <w:rsid w:val="00E10861"/>
    <w:rsid w:val="00E120BC"/>
    <w:rsid w:val="00E1376C"/>
    <w:rsid w:val="00E15635"/>
    <w:rsid w:val="00E16BEE"/>
    <w:rsid w:val="00E21B02"/>
    <w:rsid w:val="00E23869"/>
    <w:rsid w:val="00E26156"/>
    <w:rsid w:val="00E27323"/>
    <w:rsid w:val="00E3099D"/>
    <w:rsid w:val="00E333FB"/>
    <w:rsid w:val="00E3345C"/>
    <w:rsid w:val="00E36150"/>
    <w:rsid w:val="00E36F7B"/>
    <w:rsid w:val="00E40778"/>
    <w:rsid w:val="00E41FE9"/>
    <w:rsid w:val="00E4501A"/>
    <w:rsid w:val="00E4586E"/>
    <w:rsid w:val="00E45DE5"/>
    <w:rsid w:val="00E45DEB"/>
    <w:rsid w:val="00E464B9"/>
    <w:rsid w:val="00E469E8"/>
    <w:rsid w:val="00E46BFA"/>
    <w:rsid w:val="00E47194"/>
    <w:rsid w:val="00E477BE"/>
    <w:rsid w:val="00E47B62"/>
    <w:rsid w:val="00E51517"/>
    <w:rsid w:val="00E51F74"/>
    <w:rsid w:val="00E5403A"/>
    <w:rsid w:val="00E54533"/>
    <w:rsid w:val="00E55868"/>
    <w:rsid w:val="00E60C14"/>
    <w:rsid w:val="00E61815"/>
    <w:rsid w:val="00E63C50"/>
    <w:rsid w:val="00E653EB"/>
    <w:rsid w:val="00E65D86"/>
    <w:rsid w:val="00E66967"/>
    <w:rsid w:val="00E67E1C"/>
    <w:rsid w:val="00E70E2A"/>
    <w:rsid w:val="00E72C1A"/>
    <w:rsid w:val="00E745C5"/>
    <w:rsid w:val="00E74BBE"/>
    <w:rsid w:val="00E75451"/>
    <w:rsid w:val="00E763CD"/>
    <w:rsid w:val="00E76A0F"/>
    <w:rsid w:val="00E7711B"/>
    <w:rsid w:val="00E807D4"/>
    <w:rsid w:val="00E8114F"/>
    <w:rsid w:val="00E828F9"/>
    <w:rsid w:val="00E82B64"/>
    <w:rsid w:val="00E83E08"/>
    <w:rsid w:val="00E850A3"/>
    <w:rsid w:val="00E8528B"/>
    <w:rsid w:val="00E86A15"/>
    <w:rsid w:val="00E87034"/>
    <w:rsid w:val="00E90733"/>
    <w:rsid w:val="00E90F26"/>
    <w:rsid w:val="00E931A2"/>
    <w:rsid w:val="00E93D9A"/>
    <w:rsid w:val="00E96340"/>
    <w:rsid w:val="00EA38D5"/>
    <w:rsid w:val="00EA4363"/>
    <w:rsid w:val="00EA5409"/>
    <w:rsid w:val="00EA5F10"/>
    <w:rsid w:val="00EA5F30"/>
    <w:rsid w:val="00EA6EA0"/>
    <w:rsid w:val="00EA6F59"/>
    <w:rsid w:val="00EA789A"/>
    <w:rsid w:val="00EA7F85"/>
    <w:rsid w:val="00EB219C"/>
    <w:rsid w:val="00EB321E"/>
    <w:rsid w:val="00EB62A2"/>
    <w:rsid w:val="00EB64FC"/>
    <w:rsid w:val="00EB7B3E"/>
    <w:rsid w:val="00EC0FC7"/>
    <w:rsid w:val="00EC3466"/>
    <w:rsid w:val="00EC37C6"/>
    <w:rsid w:val="00EC3CEA"/>
    <w:rsid w:val="00EC744B"/>
    <w:rsid w:val="00EC778D"/>
    <w:rsid w:val="00EC7B5A"/>
    <w:rsid w:val="00ED0894"/>
    <w:rsid w:val="00ED1573"/>
    <w:rsid w:val="00ED1966"/>
    <w:rsid w:val="00ED419B"/>
    <w:rsid w:val="00ED4DA5"/>
    <w:rsid w:val="00ED5AAA"/>
    <w:rsid w:val="00ED5AF3"/>
    <w:rsid w:val="00ED6E55"/>
    <w:rsid w:val="00ED71E9"/>
    <w:rsid w:val="00ED7419"/>
    <w:rsid w:val="00EE050F"/>
    <w:rsid w:val="00EE067F"/>
    <w:rsid w:val="00EE081A"/>
    <w:rsid w:val="00EE1EB5"/>
    <w:rsid w:val="00EE243B"/>
    <w:rsid w:val="00EE2FB7"/>
    <w:rsid w:val="00EE60DB"/>
    <w:rsid w:val="00EE7E38"/>
    <w:rsid w:val="00EE7EEA"/>
    <w:rsid w:val="00EF1D7E"/>
    <w:rsid w:val="00EF2D5D"/>
    <w:rsid w:val="00EF39FC"/>
    <w:rsid w:val="00EF449C"/>
    <w:rsid w:val="00EF4CEE"/>
    <w:rsid w:val="00EF5638"/>
    <w:rsid w:val="00EF6801"/>
    <w:rsid w:val="00EF7F09"/>
    <w:rsid w:val="00F016CA"/>
    <w:rsid w:val="00F01E4F"/>
    <w:rsid w:val="00F04143"/>
    <w:rsid w:val="00F0482C"/>
    <w:rsid w:val="00F0740D"/>
    <w:rsid w:val="00F07750"/>
    <w:rsid w:val="00F07780"/>
    <w:rsid w:val="00F106C0"/>
    <w:rsid w:val="00F10988"/>
    <w:rsid w:val="00F10A86"/>
    <w:rsid w:val="00F12149"/>
    <w:rsid w:val="00F13587"/>
    <w:rsid w:val="00F16387"/>
    <w:rsid w:val="00F203C7"/>
    <w:rsid w:val="00F210E0"/>
    <w:rsid w:val="00F21646"/>
    <w:rsid w:val="00F21917"/>
    <w:rsid w:val="00F27A4B"/>
    <w:rsid w:val="00F27BB1"/>
    <w:rsid w:val="00F31BEE"/>
    <w:rsid w:val="00F32B0E"/>
    <w:rsid w:val="00F33DC4"/>
    <w:rsid w:val="00F35946"/>
    <w:rsid w:val="00F359C0"/>
    <w:rsid w:val="00F37DBE"/>
    <w:rsid w:val="00F421EA"/>
    <w:rsid w:val="00F430AC"/>
    <w:rsid w:val="00F462D5"/>
    <w:rsid w:val="00F46975"/>
    <w:rsid w:val="00F477B9"/>
    <w:rsid w:val="00F51502"/>
    <w:rsid w:val="00F53604"/>
    <w:rsid w:val="00F54A39"/>
    <w:rsid w:val="00F54B2D"/>
    <w:rsid w:val="00F54BBB"/>
    <w:rsid w:val="00F55625"/>
    <w:rsid w:val="00F55FAE"/>
    <w:rsid w:val="00F60171"/>
    <w:rsid w:val="00F6086F"/>
    <w:rsid w:val="00F613FA"/>
    <w:rsid w:val="00F6631F"/>
    <w:rsid w:val="00F72112"/>
    <w:rsid w:val="00F723D6"/>
    <w:rsid w:val="00F724AB"/>
    <w:rsid w:val="00F77E87"/>
    <w:rsid w:val="00F804E3"/>
    <w:rsid w:val="00F806A9"/>
    <w:rsid w:val="00F81620"/>
    <w:rsid w:val="00F8217F"/>
    <w:rsid w:val="00F83113"/>
    <w:rsid w:val="00F83C22"/>
    <w:rsid w:val="00F84521"/>
    <w:rsid w:val="00F87451"/>
    <w:rsid w:val="00F906AB"/>
    <w:rsid w:val="00F91766"/>
    <w:rsid w:val="00F91A6E"/>
    <w:rsid w:val="00F96B7D"/>
    <w:rsid w:val="00FA0537"/>
    <w:rsid w:val="00FA25EA"/>
    <w:rsid w:val="00FA2ECA"/>
    <w:rsid w:val="00FA2FA8"/>
    <w:rsid w:val="00FA65E5"/>
    <w:rsid w:val="00FA6A63"/>
    <w:rsid w:val="00FB1348"/>
    <w:rsid w:val="00FB1EA0"/>
    <w:rsid w:val="00FB2144"/>
    <w:rsid w:val="00FB2DA4"/>
    <w:rsid w:val="00FB45C2"/>
    <w:rsid w:val="00FB5FCF"/>
    <w:rsid w:val="00FB6B51"/>
    <w:rsid w:val="00FC1E49"/>
    <w:rsid w:val="00FC2786"/>
    <w:rsid w:val="00FC36CB"/>
    <w:rsid w:val="00FC3779"/>
    <w:rsid w:val="00FC400D"/>
    <w:rsid w:val="00FC58AA"/>
    <w:rsid w:val="00FC7979"/>
    <w:rsid w:val="00FC7CE2"/>
    <w:rsid w:val="00FD1489"/>
    <w:rsid w:val="00FD15A5"/>
    <w:rsid w:val="00FD2169"/>
    <w:rsid w:val="00FD245E"/>
    <w:rsid w:val="00FD24D9"/>
    <w:rsid w:val="00FD2B4A"/>
    <w:rsid w:val="00FD43CA"/>
    <w:rsid w:val="00FD4B6C"/>
    <w:rsid w:val="00FD7C6C"/>
    <w:rsid w:val="00FE1CB9"/>
    <w:rsid w:val="00FE54A8"/>
    <w:rsid w:val="00FE6741"/>
    <w:rsid w:val="00FE6B1A"/>
    <w:rsid w:val="00FF06F9"/>
    <w:rsid w:val="00FF0FB4"/>
    <w:rsid w:val="00FF1A88"/>
    <w:rsid w:val="00FF2B2A"/>
    <w:rsid w:val="00FF2B97"/>
    <w:rsid w:val="00FF4EE6"/>
    <w:rsid w:val="00FF683E"/>
    <w:rsid w:val="045565FB"/>
    <w:rsid w:val="05C24554"/>
    <w:rsid w:val="07731EDA"/>
    <w:rsid w:val="0784404A"/>
    <w:rsid w:val="099D0555"/>
    <w:rsid w:val="0AA66B07"/>
    <w:rsid w:val="0BA66D62"/>
    <w:rsid w:val="0C2E7DE5"/>
    <w:rsid w:val="0DAF4280"/>
    <w:rsid w:val="0EF5090E"/>
    <w:rsid w:val="0FE54093"/>
    <w:rsid w:val="103A4EAF"/>
    <w:rsid w:val="10707444"/>
    <w:rsid w:val="10E55ACF"/>
    <w:rsid w:val="138D6E1B"/>
    <w:rsid w:val="14030913"/>
    <w:rsid w:val="154C69AD"/>
    <w:rsid w:val="15CF287D"/>
    <w:rsid w:val="15D4371D"/>
    <w:rsid w:val="16116348"/>
    <w:rsid w:val="163816F1"/>
    <w:rsid w:val="18106956"/>
    <w:rsid w:val="18F736C2"/>
    <w:rsid w:val="190B12FC"/>
    <w:rsid w:val="192B0D84"/>
    <w:rsid w:val="1A4E3859"/>
    <w:rsid w:val="1AC763E3"/>
    <w:rsid w:val="1B664B02"/>
    <w:rsid w:val="1CD77CF3"/>
    <w:rsid w:val="1CE34318"/>
    <w:rsid w:val="1E370F59"/>
    <w:rsid w:val="1E996BC3"/>
    <w:rsid w:val="1F7946A4"/>
    <w:rsid w:val="1FE92EB2"/>
    <w:rsid w:val="224E07D6"/>
    <w:rsid w:val="227A00C1"/>
    <w:rsid w:val="22E01A46"/>
    <w:rsid w:val="262358E9"/>
    <w:rsid w:val="28183520"/>
    <w:rsid w:val="286E0463"/>
    <w:rsid w:val="290918A1"/>
    <w:rsid w:val="2A3744FF"/>
    <w:rsid w:val="2A3D3B58"/>
    <w:rsid w:val="2BC035CC"/>
    <w:rsid w:val="2EB879E5"/>
    <w:rsid w:val="2FD10999"/>
    <w:rsid w:val="31996E41"/>
    <w:rsid w:val="33346C59"/>
    <w:rsid w:val="34622BDD"/>
    <w:rsid w:val="34CF2843"/>
    <w:rsid w:val="34D26D17"/>
    <w:rsid w:val="35C75C95"/>
    <w:rsid w:val="39AE79B4"/>
    <w:rsid w:val="3ABF7DB8"/>
    <w:rsid w:val="3AFF4350"/>
    <w:rsid w:val="3E5206FE"/>
    <w:rsid w:val="442C049C"/>
    <w:rsid w:val="45EB52C6"/>
    <w:rsid w:val="46185D1F"/>
    <w:rsid w:val="482B6C56"/>
    <w:rsid w:val="49AE47A5"/>
    <w:rsid w:val="4ACF7A75"/>
    <w:rsid w:val="4B43165C"/>
    <w:rsid w:val="4C675C96"/>
    <w:rsid w:val="4DE250C0"/>
    <w:rsid w:val="4F40507F"/>
    <w:rsid w:val="4F9C5574"/>
    <w:rsid w:val="4FF91545"/>
    <w:rsid w:val="52020F9B"/>
    <w:rsid w:val="527D382B"/>
    <w:rsid w:val="528638F8"/>
    <w:rsid w:val="53E1377B"/>
    <w:rsid w:val="550E6F94"/>
    <w:rsid w:val="55170CA3"/>
    <w:rsid w:val="554B526C"/>
    <w:rsid w:val="582F3CF4"/>
    <w:rsid w:val="58693E4E"/>
    <w:rsid w:val="58A27E95"/>
    <w:rsid w:val="59DE09B1"/>
    <w:rsid w:val="5AED3DD9"/>
    <w:rsid w:val="5BAF5CDC"/>
    <w:rsid w:val="5D0143FE"/>
    <w:rsid w:val="621D43C7"/>
    <w:rsid w:val="629B7BA9"/>
    <w:rsid w:val="639B4440"/>
    <w:rsid w:val="63CD2A95"/>
    <w:rsid w:val="65F20436"/>
    <w:rsid w:val="66B44B18"/>
    <w:rsid w:val="69C04ABB"/>
    <w:rsid w:val="6AC25DB6"/>
    <w:rsid w:val="6ACE4D37"/>
    <w:rsid w:val="6D533A1E"/>
    <w:rsid w:val="6E584699"/>
    <w:rsid w:val="7396760B"/>
    <w:rsid w:val="73B82F5E"/>
    <w:rsid w:val="74966354"/>
    <w:rsid w:val="76004113"/>
    <w:rsid w:val="76442DB5"/>
    <w:rsid w:val="76816DDF"/>
    <w:rsid w:val="77667C2A"/>
    <w:rsid w:val="7B0A6242"/>
    <w:rsid w:val="7B4D1255"/>
    <w:rsid w:val="7C315F08"/>
    <w:rsid w:val="7EA118FD"/>
    <w:rsid w:val="7F685EF5"/>
    <w:rsid w:val="7FBA2042"/>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1" w:semiHidden="0" w:name="heading 1"/>
    <w:lsdException w:qFormat="1" w:unhideWhenUsed="0" w:uiPriority="9" w:semiHidden="0" w:name="heading 2"/>
    <w:lsdException w:qFormat="1" w:unhideWhenUsed="0" w:uiPriority="1"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72"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3">
    <w:name w:val="heading 1"/>
    <w:basedOn w:val="1"/>
    <w:next w:val="1"/>
    <w:link w:val="20"/>
    <w:qFormat/>
    <w:uiPriority w:val="1"/>
    <w:pPr>
      <w:autoSpaceDE w:val="0"/>
      <w:autoSpaceDN w:val="0"/>
      <w:adjustRightInd w:val="0"/>
      <w:spacing w:before="17"/>
      <w:ind w:left="1144"/>
      <w:jc w:val="left"/>
      <w:outlineLvl w:val="0"/>
    </w:pPr>
    <w:rPr>
      <w:rFonts w:ascii="黑体" w:hAnsi="Times New Roman" w:eastAsia="黑体"/>
      <w:b/>
      <w:bCs/>
      <w:kern w:val="0"/>
      <w:sz w:val="36"/>
      <w:szCs w:val="36"/>
    </w:rPr>
  </w:style>
  <w:style w:type="paragraph" w:styleId="4">
    <w:name w:val="heading 2"/>
    <w:basedOn w:val="1"/>
    <w:next w:val="1"/>
    <w:link w:val="21"/>
    <w:qFormat/>
    <w:uiPriority w:val="9"/>
    <w:pPr>
      <w:keepNext/>
      <w:keepLines/>
      <w:spacing w:before="260" w:after="260" w:line="416" w:lineRule="auto"/>
      <w:outlineLvl w:val="1"/>
    </w:pPr>
    <w:rPr>
      <w:rFonts w:ascii="Cambria" w:hAnsi="Cambria"/>
      <w:b/>
      <w:bCs/>
      <w:kern w:val="0"/>
      <w:sz w:val="32"/>
      <w:szCs w:val="32"/>
    </w:rPr>
  </w:style>
  <w:style w:type="paragraph" w:styleId="5">
    <w:name w:val="heading 3"/>
    <w:basedOn w:val="1"/>
    <w:next w:val="1"/>
    <w:link w:val="22"/>
    <w:qFormat/>
    <w:uiPriority w:val="1"/>
    <w:pPr>
      <w:autoSpaceDE w:val="0"/>
      <w:autoSpaceDN w:val="0"/>
      <w:adjustRightInd w:val="0"/>
      <w:spacing w:before="34"/>
      <w:ind w:left="120"/>
      <w:jc w:val="left"/>
      <w:outlineLvl w:val="2"/>
    </w:pPr>
    <w:rPr>
      <w:rFonts w:ascii="宋体" w:hAnsi="Times New Roman"/>
      <w:b/>
      <w:bCs/>
      <w:kern w:val="0"/>
      <w:sz w:val="20"/>
      <w:szCs w:val="21"/>
    </w:rPr>
  </w:style>
  <w:style w:type="character" w:default="1" w:styleId="15">
    <w:name w:val="Default Paragraph Font"/>
    <w:unhideWhenUsed/>
    <w:qFormat/>
    <w:uiPriority w:val="1"/>
  </w:style>
  <w:style w:type="table" w:default="1" w:styleId="13">
    <w:name w:val="Normal Table"/>
    <w:unhideWhenUsed/>
    <w:qFormat/>
    <w:uiPriority w:val="99"/>
    <w:tblPr>
      <w:tblCellMar>
        <w:top w:w="0" w:type="dxa"/>
        <w:left w:w="108" w:type="dxa"/>
        <w:bottom w:w="0" w:type="dxa"/>
        <w:right w:w="108" w:type="dxa"/>
      </w:tblCellMar>
    </w:tblPr>
  </w:style>
  <w:style w:type="paragraph" w:styleId="2">
    <w:name w:val="Body Text"/>
    <w:basedOn w:val="1"/>
    <w:next w:val="1"/>
    <w:link w:val="19"/>
    <w:qFormat/>
    <w:uiPriority w:val="1"/>
    <w:pPr>
      <w:autoSpaceDE w:val="0"/>
      <w:autoSpaceDN w:val="0"/>
      <w:adjustRightInd w:val="0"/>
      <w:spacing w:before="162"/>
      <w:ind w:left="120"/>
      <w:jc w:val="left"/>
    </w:pPr>
    <w:rPr>
      <w:rFonts w:ascii="宋体" w:hAnsi="Times New Roman"/>
      <w:kern w:val="0"/>
      <w:sz w:val="20"/>
      <w:szCs w:val="21"/>
    </w:rPr>
  </w:style>
  <w:style w:type="paragraph" w:styleId="6">
    <w:name w:val="annotation text"/>
    <w:basedOn w:val="1"/>
    <w:link w:val="23"/>
    <w:unhideWhenUsed/>
    <w:qFormat/>
    <w:uiPriority w:val="99"/>
    <w:pPr>
      <w:jc w:val="left"/>
    </w:pPr>
  </w:style>
  <w:style w:type="paragraph" w:styleId="7">
    <w:name w:val="Date"/>
    <w:basedOn w:val="1"/>
    <w:next w:val="1"/>
    <w:link w:val="24"/>
    <w:unhideWhenUsed/>
    <w:qFormat/>
    <w:uiPriority w:val="99"/>
    <w:pPr>
      <w:ind w:left="100" w:leftChars="2500"/>
    </w:pPr>
  </w:style>
  <w:style w:type="paragraph" w:styleId="8">
    <w:name w:val="Balloon Text"/>
    <w:basedOn w:val="1"/>
    <w:link w:val="25"/>
    <w:unhideWhenUsed/>
    <w:qFormat/>
    <w:uiPriority w:val="99"/>
    <w:rPr>
      <w:kern w:val="0"/>
      <w:sz w:val="18"/>
      <w:szCs w:val="18"/>
    </w:rPr>
  </w:style>
  <w:style w:type="paragraph" w:styleId="9">
    <w:name w:val="footer"/>
    <w:basedOn w:val="1"/>
    <w:link w:val="26"/>
    <w:unhideWhenUsed/>
    <w:qFormat/>
    <w:uiPriority w:val="99"/>
    <w:pPr>
      <w:tabs>
        <w:tab w:val="center" w:pos="4153"/>
        <w:tab w:val="right" w:pos="8306"/>
      </w:tabs>
      <w:snapToGrid w:val="0"/>
      <w:jc w:val="left"/>
    </w:pPr>
    <w:rPr>
      <w:kern w:val="0"/>
      <w:sz w:val="18"/>
      <w:szCs w:val="18"/>
    </w:rPr>
  </w:style>
  <w:style w:type="paragraph" w:styleId="10">
    <w:name w:val="header"/>
    <w:basedOn w:val="1"/>
    <w:link w:val="27"/>
    <w:unhideWhenUsed/>
    <w:qFormat/>
    <w:uiPriority w:val="99"/>
    <w:pPr>
      <w:pBdr>
        <w:bottom w:val="single" w:color="auto" w:sz="6" w:space="1"/>
      </w:pBdr>
      <w:tabs>
        <w:tab w:val="center" w:pos="4153"/>
        <w:tab w:val="right" w:pos="8306"/>
      </w:tabs>
      <w:snapToGrid w:val="0"/>
      <w:jc w:val="center"/>
    </w:pPr>
    <w:rPr>
      <w:kern w:val="0"/>
      <w:sz w:val="18"/>
      <w:szCs w:val="18"/>
    </w:rPr>
  </w:style>
  <w:style w:type="paragraph" w:styleId="11">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12">
    <w:name w:val="annotation subject"/>
    <w:basedOn w:val="6"/>
    <w:next w:val="6"/>
    <w:link w:val="28"/>
    <w:unhideWhenUsed/>
    <w:qFormat/>
    <w:uiPriority w:val="99"/>
    <w:rPr>
      <w:b/>
      <w:bCs/>
    </w:rPr>
  </w:style>
  <w:style w:type="table" w:styleId="14">
    <w:name w:val="Table Grid"/>
    <w:basedOn w:val="13"/>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6">
    <w:name w:val="Strong"/>
    <w:qFormat/>
    <w:uiPriority w:val="22"/>
    <w:rPr>
      <w:b/>
      <w:bCs/>
    </w:rPr>
  </w:style>
  <w:style w:type="character" w:styleId="17">
    <w:name w:val="Hyperlink"/>
    <w:unhideWhenUsed/>
    <w:qFormat/>
    <w:uiPriority w:val="99"/>
    <w:rPr>
      <w:color w:val="0000FF"/>
      <w:u w:val="single"/>
    </w:rPr>
  </w:style>
  <w:style w:type="character" w:styleId="18">
    <w:name w:val="annotation reference"/>
    <w:unhideWhenUsed/>
    <w:qFormat/>
    <w:uiPriority w:val="99"/>
    <w:rPr>
      <w:sz w:val="21"/>
      <w:szCs w:val="21"/>
    </w:rPr>
  </w:style>
  <w:style w:type="character" w:customStyle="1" w:styleId="19">
    <w:name w:val="正文文本 Char"/>
    <w:link w:val="2"/>
    <w:qFormat/>
    <w:uiPriority w:val="1"/>
    <w:rPr>
      <w:rFonts w:ascii="宋体" w:hAnsi="Times New Roman" w:eastAsia="宋体" w:cs="宋体"/>
      <w:kern w:val="0"/>
      <w:szCs w:val="21"/>
    </w:rPr>
  </w:style>
  <w:style w:type="character" w:customStyle="1" w:styleId="20">
    <w:name w:val="标题 1 Char"/>
    <w:link w:val="3"/>
    <w:qFormat/>
    <w:uiPriority w:val="1"/>
    <w:rPr>
      <w:rFonts w:ascii="黑体" w:hAnsi="Times New Roman" w:eastAsia="黑体" w:cs="黑体"/>
      <w:b/>
      <w:bCs/>
      <w:kern w:val="0"/>
      <w:sz w:val="36"/>
      <w:szCs w:val="36"/>
    </w:rPr>
  </w:style>
  <w:style w:type="character" w:customStyle="1" w:styleId="21">
    <w:name w:val="标题 2 Char"/>
    <w:link w:val="4"/>
    <w:qFormat/>
    <w:uiPriority w:val="9"/>
    <w:rPr>
      <w:rFonts w:ascii="Cambria" w:hAnsi="Cambria" w:eastAsia="宋体" w:cs="Times New Roman"/>
      <w:b/>
      <w:bCs/>
      <w:sz w:val="32"/>
      <w:szCs w:val="32"/>
    </w:rPr>
  </w:style>
  <w:style w:type="character" w:customStyle="1" w:styleId="22">
    <w:name w:val="标题 3 Char"/>
    <w:link w:val="5"/>
    <w:qFormat/>
    <w:uiPriority w:val="1"/>
    <w:rPr>
      <w:rFonts w:ascii="宋体" w:hAnsi="Times New Roman" w:eastAsia="宋体" w:cs="宋体"/>
      <w:b/>
      <w:bCs/>
      <w:kern w:val="0"/>
      <w:szCs w:val="21"/>
    </w:rPr>
  </w:style>
  <w:style w:type="character" w:customStyle="1" w:styleId="23">
    <w:name w:val="批注文字 Char"/>
    <w:link w:val="6"/>
    <w:qFormat/>
    <w:uiPriority w:val="99"/>
    <w:rPr>
      <w:kern w:val="2"/>
      <w:sz w:val="21"/>
      <w:szCs w:val="22"/>
    </w:rPr>
  </w:style>
  <w:style w:type="character" w:customStyle="1" w:styleId="24">
    <w:name w:val="日期 Char"/>
    <w:link w:val="7"/>
    <w:semiHidden/>
    <w:qFormat/>
    <w:uiPriority w:val="99"/>
  </w:style>
  <w:style w:type="character" w:customStyle="1" w:styleId="25">
    <w:name w:val="批注框文本 Char"/>
    <w:link w:val="8"/>
    <w:semiHidden/>
    <w:qFormat/>
    <w:uiPriority w:val="99"/>
    <w:rPr>
      <w:sz w:val="18"/>
      <w:szCs w:val="18"/>
    </w:rPr>
  </w:style>
  <w:style w:type="character" w:customStyle="1" w:styleId="26">
    <w:name w:val="页脚 Char"/>
    <w:link w:val="9"/>
    <w:qFormat/>
    <w:uiPriority w:val="99"/>
    <w:rPr>
      <w:sz w:val="18"/>
      <w:szCs w:val="18"/>
    </w:rPr>
  </w:style>
  <w:style w:type="character" w:customStyle="1" w:styleId="27">
    <w:name w:val="页眉 Char"/>
    <w:link w:val="10"/>
    <w:qFormat/>
    <w:uiPriority w:val="99"/>
    <w:rPr>
      <w:sz w:val="18"/>
      <w:szCs w:val="18"/>
    </w:rPr>
  </w:style>
  <w:style w:type="character" w:customStyle="1" w:styleId="28">
    <w:name w:val="批注主题 Char"/>
    <w:link w:val="12"/>
    <w:semiHidden/>
    <w:qFormat/>
    <w:uiPriority w:val="99"/>
    <w:rPr>
      <w:b/>
      <w:bCs/>
      <w:kern w:val="2"/>
      <w:sz w:val="21"/>
      <w:szCs w:val="22"/>
    </w:rPr>
  </w:style>
  <w:style w:type="paragraph" w:customStyle="1" w:styleId="29">
    <w:name w:val="Default"/>
    <w:qFormat/>
    <w:uiPriority w:val="0"/>
    <w:pPr>
      <w:widowControl w:val="0"/>
      <w:autoSpaceDE w:val="0"/>
      <w:autoSpaceDN w:val="0"/>
      <w:adjustRightInd w:val="0"/>
    </w:pPr>
    <w:rPr>
      <w:rFonts w:ascii="宋体" w:hAnsi="宋体" w:eastAsia="宋体" w:cs="宋体"/>
      <w:color w:val="000000"/>
      <w:sz w:val="24"/>
      <w:szCs w:val="24"/>
      <w:lang w:val="en-US" w:eastAsia="zh-CN" w:bidi="ar-SA"/>
    </w:rPr>
  </w:style>
  <w:style w:type="paragraph" w:styleId="30">
    <w:name w:val="List Paragraph"/>
    <w:basedOn w:val="1"/>
    <w:qFormat/>
    <w:uiPriority w:val="72"/>
    <w:pPr>
      <w:ind w:firstLine="420" w:firstLineChars="200"/>
    </w:pPr>
  </w:style>
  <w:style w:type="paragraph" w:customStyle="1" w:styleId="31">
    <w:name w:val="_Style 30"/>
    <w:semiHidden/>
    <w:qFormat/>
    <w:uiPriority w:val="99"/>
    <w:rPr>
      <w:rFonts w:ascii="Times New Roman" w:hAnsi="Times New Roman" w:eastAsia="宋体" w:cs="Times New Roman"/>
      <w:kern w:val="2"/>
      <w:sz w:val="21"/>
      <w:szCs w:val="22"/>
      <w:lang w:val="en-US" w:eastAsia="zh-CN" w:bidi="ar-SA"/>
    </w:rPr>
  </w:style>
  <w:style w:type="paragraph" w:customStyle="1" w:styleId="32">
    <w:name w:val="Table Paragraph"/>
    <w:basedOn w:val="1"/>
    <w:qFormat/>
    <w:uiPriority w:val="1"/>
    <w:pPr>
      <w:autoSpaceDE w:val="0"/>
      <w:autoSpaceDN w:val="0"/>
      <w:adjustRightInd w:val="0"/>
      <w:jc w:val="left"/>
    </w:pPr>
    <w:rPr>
      <w:rFonts w:ascii="Times New Roman" w:hAnsi="Times New Roman" w:cs="Times New Roman"/>
      <w:kern w:val="0"/>
      <w:sz w:val="24"/>
      <w:szCs w:val="24"/>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2</Pages>
  <Words>550</Words>
  <Characters>610</Characters>
  <Lines>2</Lines>
  <Paragraphs>1</Paragraphs>
  <TotalTime>2</TotalTime>
  <ScaleCrop>false</ScaleCrop>
  <LinksUpToDate>false</LinksUpToDate>
  <CharactersWithSpaces>611</CharactersWithSpaces>
  <Application>WPS Office_11.8.2.11734_F1E327BC-269C-435d-A152-05C5408002CA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2021-11-25T11:20:00Z</dcterms:created>
  <dc:creator>JSYH</dc:creator>
  <cp:lastModifiedBy>lhy</cp:lastModifiedBy>
  <cp:lastPrinted>2022-06-20T06:27:00Z</cp:lastPrinted>
  <dcterms:modified xsi:type="dcterms:W3CDTF">2026-02-04T10:18:35Z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2052-11.8.2.11734</vt:lpwstr>
  </property>
  <property fmtid="{D5CDD505-2E9C-101B-9397-08002B2CF9AE}" pid="3" name="ICV">
    <vt:lpwstr>EC166B6011A048349E15687888E09AC0</vt:lpwstr>
  </property>
</Properties>
</file>