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r>
        <w:rPr>
          <w:rFonts w:hint="eastAsia" w:ascii="楷体" w:hAnsi="楷体" w:eastAsia="楷体"/>
          <w:b/>
          <w:kern w:val="0"/>
          <w:sz w:val="36"/>
          <w:szCs w:val="36"/>
        </w:rPr>
        <w:t>“</w:t>
      </w:r>
      <w:r>
        <w:rPr>
          <w:rFonts w:hint="eastAsia" w:ascii="楷体" w:hAnsi="楷体" w:eastAsia="楷体"/>
          <w:b/>
          <w:kern w:val="0"/>
          <w:sz w:val="36"/>
          <w:szCs w:val="36"/>
          <w:lang w:eastAsia="zh-CN"/>
        </w:rPr>
        <w:t>苏银理财恒源日申月持1号</w:t>
      </w:r>
      <w:r>
        <w:rPr>
          <w:rFonts w:hint="eastAsia" w:ascii="楷体" w:hAnsi="楷体" w:eastAsia="楷体"/>
          <w:b/>
          <w:kern w:val="0"/>
          <w:sz w:val="36"/>
          <w:szCs w:val="36"/>
        </w:rPr>
        <w:t>”</w:t>
      </w: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r>
        <w:rPr>
          <w:rFonts w:hint="eastAsia" w:ascii="楷体" w:hAnsi="楷体" w:eastAsia="楷体"/>
          <w:b/>
          <w:kern w:val="0"/>
          <w:sz w:val="36"/>
          <w:szCs w:val="36"/>
        </w:rPr>
        <w:t>理财产品要素调整公告</w:t>
      </w: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p>
    <w:p>
      <w:pPr>
        <w:keepNext w:val="0"/>
        <w:keepLines w:val="0"/>
        <w:pageBreakBefore w:val="0"/>
        <w:wordWrap/>
        <w:topLinePunct w:val="0"/>
        <w:autoSpaceDE/>
        <w:autoSpaceDN/>
        <w:bidi w:val="0"/>
        <w:snapToGrid/>
        <w:spacing w:line="520" w:lineRule="exact"/>
        <w:textAlignment w:val="auto"/>
        <w:rPr>
          <w:rFonts w:hint="eastAsia" w:ascii="楷体" w:hAnsi="楷体" w:eastAsia="楷体"/>
          <w:kern w:val="0"/>
          <w:sz w:val="28"/>
          <w:szCs w:val="28"/>
        </w:rPr>
      </w:pPr>
      <w:r>
        <w:rPr>
          <w:rFonts w:hint="eastAsia" w:ascii="楷体" w:hAnsi="楷体" w:eastAsia="楷体"/>
          <w:kern w:val="0"/>
          <w:sz w:val="28"/>
          <w:szCs w:val="28"/>
        </w:rPr>
        <w:t>尊敬的客户：</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为满足客户的投资需要，</w:t>
      </w:r>
      <w:r>
        <w:rPr>
          <w:rFonts w:hint="eastAsia" w:ascii="楷体" w:hAnsi="楷体" w:eastAsia="楷体" w:cs="Times New Roman"/>
          <w:sz w:val="28"/>
          <w:szCs w:val="28"/>
          <w:lang w:val="en-US" w:eastAsia="zh-CN"/>
        </w:rPr>
        <w:t>管理人拟调整“苏银理财恒源日申月持1号”部分要素</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具体情况</w:t>
      </w:r>
      <w:r>
        <w:rPr>
          <w:rFonts w:hint="eastAsia" w:ascii="楷体" w:hAnsi="楷体" w:eastAsia="楷体" w:cs="Times New Roman"/>
          <w:sz w:val="28"/>
          <w:szCs w:val="28"/>
        </w:rPr>
        <w:t>如下：</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2" w:firstLineChars="200"/>
        <w:textAlignment w:val="auto"/>
        <w:outlineLvl w:val="9"/>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调整业绩比较基准及超额业绩报酬</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根据当前市场情况及产品投资运作情况，</w:t>
      </w:r>
      <w:r>
        <w:rPr>
          <w:rFonts w:hint="eastAsia" w:ascii="楷体" w:hAnsi="楷体" w:eastAsia="楷体" w:cs="Times New Roman"/>
          <w:sz w:val="28"/>
          <w:szCs w:val="28"/>
        </w:rPr>
        <w:t>管理人自202</w:t>
      </w:r>
      <w:r>
        <w:rPr>
          <w:rFonts w:hint="eastAsia" w:ascii="楷体" w:hAnsi="楷体" w:eastAsia="楷体" w:cs="Times New Roman"/>
          <w:sz w:val="28"/>
          <w:szCs w:val="28"/>
          <w:lang w:val="en-US" w:eastAsia="zh-CN"/>
        </w:rPr>
        <w:t>6</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12</w:t>
      </w:r>
      <w:r>
        <w:rPr>
          <w:rFonts w:hint="eastAsia" w:ascii="楷体" w:hAnsi="楷体" w:eastAsia="楷体" w:cs="Times New Roman"/>
          <w:sz w:val="28"/>
          <w:szCs w:val="28"/>
        </w:rPr>
        <w:t>日起，</w:t>
      </w:r>
      <w:r>
        <w:rPr>
          <w:rFonts w:hint="eastAsia" w:ascii="楷体" w:hAnsi="楷体" w:eastAsia="楷体" w:cs="Times New Roman"/>
          <w:sz w:val="28"/>
          <w:szCs w:val="28"/>
          <w:lang w:val="en-US" w:eastAsia="zh-CN"/>
        </w:rPr>
        <w:t>拟</w:t>
      </w:r>
      <w:r>
        <w:rPr>
          <w:rFonts w:hint="eastAsia" w:ascii="楷体" w:hAnsi="楷体" w:eastAsia="楷体" w:cs="Times New Roman"/>
          <w:sz w:val="28"/>
          <w:szCs w:val="28"/>
        </w:rPr>
        <w:t>对“</w:t>
      </w:r>
      <w:r>
        <w:rPr>
          <w:rFonts w:hint="eastAsia" w:ascii="楷体" w:hAnsi="楷体" w:eastAsia="楷体" w:cs="Times New Roman"/>
          <w:sz w:val="28"/>
          <w:szCs w:val="28"/>
          <w:lang w:eastAsia="zh-CN"/>
        </w:rPr>
        <w:t>苏银理财恒源日申月持1号</w:t>
      </w:r>
      <w:r>
        <w:rPr>
          <w:rFonts w:hint="eastAsia" w:ascii="楷体" w:hAnsi="楷体" w:eastAsia="楷体" w:cs="Times New Roman"/>
          <w:sz w:val="28"/>
          <w:szCs w:val="28"/>
        </w:rPr>
        <w:t>”理财产品的</w:t>
      </w:r>
      <w:r>
        <w:rPr>
          <w:rFonts w:hint="eastAsia" w:ascii="楷体" w:hAnsi="楷体" w:eastAsia="楷体" w:cs="Times New Roman"/>
          <w:sz w:val="28"/>
          <w:szCs w:val="28"/>
          <w:lang w:val="en-US" w:eastAsia="zh-CN"/>
        </w:rPr>
        <w:t>业绩比较基准及超额业绩报酬进行调整（业绩比较基准不代表理财产品未来表现，不等于理财产品实际收益，不作为产品收益的业绩保证，投资者的实际收益由产品净值表现决定）。具体情况如下</w:t>
      </w:r>
      <w:r>
        <w:rPr>
          <w:rFonts w:hint="eastAsia" w:ascii="楷体" w:hAnsi="楷体" w:eastAsia="楷体" w:cs="Times New Roman"/>
          <w:sz w:val="28"/>
          <w:szCs w:val="28"/>
        </w:rPr>
        <w:t>：</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700"/>
        <w:gridCol w:w="1328"/>
        <w:gridCol w:w="1332"/>
        <w:gridCol w:w="186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13" w:type="pct"/>
            <w:vMerge w:val="restart"/>
            <w:noWrap w:val="0"/>
            <w:tcMar>
              <w:top w:w="0" w:type="dxa"/>
              <w:left w:w="28" w:type="dxa"/>
              <w:bottom w:w="0" w:type="dxa"/>
              <w:right w:w="28" w:type="dxa"/>
            </w:tcMar>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vertAlign w:val="baseline"/>
                <w:lang w:val="en-US" w:eastAsia="zh-CN"/>
              </w:rPr>
            </w:pPr>
            <w:r>
              <w:rPr>
                <w:rFonts w:hint="eastAsia" w:ascii="楷体" w:hAnsi="楷体" w:eastAsia="楷体" w:cs="楷体"/>
                <w:b/>
                <w:bCs/>
                <w:sz w:val="24"/>
                <w:szCs w:val="24"/>
                <w:lang w:val="en-US" w:eastAsia="zh-CN"/>
              </w:rPr>
              <w:t>销售名称</w:t>
            </w:r>
          </w:p>
        </w:tc>
        <w:tc>
          <w:tcPr>
            <w:tcW w:w="414" w:type="pct"/>
            <w:vMerge w:val="restar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销售</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代码</w:t>
            </w:r>
          </w:p>
        </w:tc>
        <w:tc>
          <w:tcPr>
            <w:tcW w:w="1572" w:type="pct"/>
            <w:gridSpan w:val="2"/>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sz w:val="24"/>
                <w:szCs w:val="24"/>
                <w:vertAlign w:val="baseline"/>
                <w:lang w:val="en-US" w:eastAsia="zh-CN"/>
              </w:rPr>
            </w:pPr>
            <w:r>
              <w:rPr>
                <w:rFonts w:hint="eastAsia" w:ascii="楷体" w:hAnsi="楷体" w:eastAsia="楷体" w:cs="楷体"/>
                <w:b/>
                <w:bCs/>
                <w:i w:val="0"/>
                <w:iCs w:val="0"/>
                <w:color w:val="000000"/>
                <w:kern w:val="0"/>
                <w:sz w:val="24"/>
                <w:szCs w:val="24"/>
                <w:u w:val="none"/>
                <w:lang w:val="en-US" w:eastAsia="zh-CN" w:bidi="ar"/>
              </w:rPr>
              <w:t>业绩比较基准（年化）</w:t>
            </w:r>
          </w:p>
        </w:tc>
        <w:tc>
          <w:tcPr>
            <w:tcW w:w="2200" w:type="pct"/>
            <w:gridSpan w:val="2"/>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超额业绩报酬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13" w:type="pct"/>
            <w:vMerge w:val="continue"/>
            <w:noWrap w:val="0"/>
            <w:tcMar>
              <w:top w:w="0" w:type="dxa"/>
              <w:left w:w="28" w:type="dxa"/>
              <w:bottom w:w="0" w:type="dxa"/>
              <w:right w:w="28" w:type="dxa"/>
            </w:tcMar>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pPr>
          </w:p>
        </w:tc>
        <w:tc>
          <w:tcPr>
            <w:tcW w:w="414" w:type="pct"/>
            <w:vMerge w:val="continue"/>
            <w:noWrap w:val="0"/>
            <w:tcMar>
              <w:top w:w="0" w:type="dxa"/>
              <w:left w:w="28" w:type="dxa"/>
              <w:bottom w:w="0" w:type="dxa"/>
              <w:right w:w="28" w:type="dxa"/>
            </w:tcMar>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pP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i w:val="0"/>
                <w:iCs w:val="0"/>
                <w:color w:val="000000"/>
                <w:kern w:val="0"/>
                <w:sz w:val="24"/>
                <w:szCs w:val="24"/>
                <w:u w:val="none"/>
                <w:lang w:val="en-US" w:eastAsia="zh-CN" w:bidi="ar"/>
              </w:rPr>
              <w:t>调整前</w:t>
            </w:r>
          </w:p>
        </w:tc>
        <w:tc>
          <w:tcPr>
            <w:tcW w:w="787" w:type="pct"/>
            <w:noWrap w:val="0"/>
            <w:tcMar>
              <w:top w:w="0" w:type="dxa"/>
              <w:left w:w="28" w:type="dxa"/>
              <w:bottom w:w="0" w:type="dxa"/>
              <w:right w:w="28" w:type="dxa"/>
            </w:tcMar>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i w:val="0"/>
                <w:iCs w:val="0"/>
                <w:color w:val="000000"/>
                <w:kern w:val="0"/>
                <w:sz w:val="24"/>
                <w:szCs w:val="24"/>
                <w:u w:val="none"/>
                <w:lang w:val="en-US" w:eastAsia="zh-CN" w:bidi="ar"/>
              </w:rPr>
            </w:pPr>
            <w:r>
              <w:rPr>
                <w:rFonts w:hint="eastAsia" w:ascii="楷体" w:hAnsi="楷体" w:eastAsia="楷体" w:cs="楷体"/>
                <w:b/>
                <w:bCs/>
                <w:sz w:val="24"/>
                <w:szCs w:val="24"/>
                <w:lang w:val="en-US" w:eastAsia="zh-CN"/>
              </w:rPr>
              <w:t>调整后</w:t>
            </w:r>
          </w:p>
        </w:tc>
        <w:tc>
          <w:tcPr>
            <w:tcW w:w="1099"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sz w:val="24"/>
                <w:szCs w:val="24"/>
                <w:lang w:val="en-US" w:eastAsia="zh-CN"/>
              </w:rPr>
            </w:pPr>
            <w:r>
              <w:rPr>
                <w:rFonts w:hint="eastAsia" w:ascii="楷体" w:hAnsi="楷体" w:eastAsia="楷体" w:cs="楷体"/>
                <w:b/>
                <w:bCs/>
                <w:i w:val="0"/>
                <w:iCs w:val="0"/>
                <w:color w:val="000000"/>
                <w:kern w:val="0"/>
                <w:sz w:val="24"/>
                <w:szCs w:val="24"/>
                <w:u w:val="none"/>
                <w:lang w:val="en-US" w:eastAsia="zh-CN" w:bidi="ar"/>
              </w:rPr>
              <w:t>调整前</w:t>
            </w:r>
          </w:p>
        </w:tc>
        <w:tc>
          <w:tcPr>
            <w:tcW w:w="1100" w:type="pct"/>
            <w:noWrap w:val="0"/>
            <w:tcMar>
              <w:top w:w="0" w:type="dxa"/>
              <w:left w:w="28" w:type="dxa"/>
              <w:bottom w:w="0" w:type="dxa"/>
              <w:right w:w="28" w:type="dxa"/>
            </w:tcMar>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苏银理财恒源日申月持1号A</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J00311</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2.00%-2.90%</w:t>
            </w:r>
          </w:p>
        </w:tc>
        <w:tc>
          <w:tcPr>
            <w:tcW w:w="787" w:type="pct"/>
            <w:vMerge w:val="restar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中债-高信用等级中期票据全价(1年以下)指数收益率+0.10%</w:t>
            </w:r>
          </w:p>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restart"/>
            <w:noWrap w:val="0"/>
            <w:tcMar>
              <w:top w:w="0" w:type="dxa"/>
              <w:left w:w="28" w:type="dxa"/>
              <w:bottom w:w="0" w:type="dxa"/>
              <w:right w:w="28" w:type="dxa"/>
            </w:tcMar>
            <w:vAlign w:val="center"/>
          </w:tcPr>
          <w:p>
            <w:pPr>
              <w:keepNext w:val="0"/>
              <w:keepLines w:val="0"/>
              <w:widowControl/>
              <w:suppressLineNumbers w:val="0"/>
              <w:jc w:val="both"/>
              <w:textAlignment w:val="center"/>
              <w:rPr>
                <w:rFonts w:hint="eastAsia" w:ascii="楷体" w:hAnsi="楷体" w:eastAsia="楷体" w:cs="楷体"/>
                <w:i w:val="0"/>
                <w:iCs w:val="0"/>
                <w:color w:val="auto"/>
                <w:kern w:val="0"/>
                <w:sz w:val="21"/>
                <w:szCs w:val="21"/>
                <w:u w:val="none"/>
                <w:lang w:val="en-US" w:eastAsia="zh-CN" w:bidi="ar"/>
              </w:rPr>
            </w:pPr>
            <w:r>
              <w:rPr>
                <w:rFonts w:hint="eastAsia" w:ascii="楷体" w:hAnsi="楷体" w:eastAsia="楷体" w:cs="楷体"/>
                <w:i w:val="0"/>
                <w:iCs w:val="0"/>
                <w:color w:val="auto"/>
                <w:kern w:val="0"/>
                <w:sz w:val="21"/>
                <w:szCs w:val="21"/>
                <w:u w:val="none"/>
                <w:lang w:val="en-US" w:eastAsia="zh-CN" w:bidi="ar"/>
              </w:rPr>
              <w:t>管理人按投资周期收取超额业绩报酬，若各份额单一投资周期的产品实际投资收益在扣除托管费、销售服务费、投资管理费以及运作产品所必须缴纳的税费后超过各份额业绩比较基准上限，产品管理人将按照超出部分的30%收取超额业绩报酬。</w:t>
            </w:r>
          </w:p>
        </w:tc>
        <w:tc>
          <w:tcPr>
            <w:tcW w:w="1100" w:type="pct"/>
            <w:vMerge w:val="restart"/>
            <w:noWrap w:val="0"/>
            <w:tcMar>
              <w:top w:w="0" w:type="dxa"/>
              <w:left w:w="28" w:type="dxa"/>
              <w:bottom w:w="0" w:type="dxa"/>
              <w:right w:w="28" w:type="dxa"/>
            </w:tcMar>
            <w:vAlign w:val="center"/>
          </w:tcPr>
          <w:p>
            <w:pPr>
              <w:keepNext w:val="0"/>
              <w:keepLines w:val="0"/>
              <w:widowControl/>
              <w:suppressLineNumbers w:val="0"/>
              <w:jc w:val="both"/>
              <w:textAlignment w:val="center"/>
              <w:rPr>
                <w:rFonts w:hint="eastAsia" w:ascii="楷体" w:hAnsi="楷体" w:eastAsia="楷体" w:cs="楷体"/>
                <w:i w:val="0"/>
                <w:iCs w:val="0"/>
                <w:color w:val="auto"/>
                <w:kern w:val="0"/>
                <w:sz w:val="21"/>
                <w:szCs w:val="21"/>
                <w:u w:val="none"/>
                <w:lang w:val="en-US" w:eastAsia="zh-CN" w:bidi="ar"/>
              </w:rPr>
            </w:pPr>
            <w:r>
              <w:rPr>
                <w:rFonts w:hint="eastAsia" w:ascii="楷体" w:hAnsi="楷体" w:eastAsia="楷体" w:cs="楷体"/>
                <w:i w:val="0"/>
                <w:iCs w:val="0"/>
                <w:color w:val="auto"/>
                <w:kern w:val="0"/>
                <w:sz w:val="21"/>
                <w:szCs w:val="21"/>
                <w:u w:val="none"/>
                <w:lang w:val="en-US" w:eastAsia="zh-CN" w:bidi="ar"/>
              </w:rPr>
              <w:t>客户赎回时若持有份额的净值增长率在扣除托管费、销售服务费、投资管理费以及运作产品所必须缴纳的税费后超过年化2.70%，管理人将在赎回时对超出部分收取30%超额业绩报酬。</w:t>
            </w:r>
          </w:p>
          <w:p>
            <w:pPr>
              <w:keepNext w:val="0"/>
              <w:keepLines w:val="0"/>
              <w:widowControl/>
              <w:suppressLineNumbers w:val="0"/>
              <w:jc w:val="both"/>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苏银理财恒源日申月持1号B</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J00312</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2.05%-2.95%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苏银理财恒源日申月持1号C</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J00313</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2.15%-3.05%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苏银理财恒源日申月持1号D</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J00333</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2.15%-3.05%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苏银理财恒源日申月持1号A滚续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J02643</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2.00%-2.90%</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099" w:type="pct"/>
            <w:vMerge w:val="restart"/>
            <w:noWrap w:val="0"/>
            <w:tcMar>
              <w:top w:w="0" w:type="dxa"/>
              <w:left w:w="28" w:type="dxa"/>
              <w:bottom w:w="0" w:type="dxa"/>
              <w:right w:w="28" w:type="dxa"/>
            </w:tcMar>
            <w:vAlign w:val="center"/>
          </w:tcPr>
          <w:p>
            <w:pPr>
              <w:keepNext w:val="0"/>
              <w:keepLines w:val="0"/>
              <w:widowControl/>
              <w:suppressLineNumbers w:val="0"/>
              <w:jc w:val="both"/>
              <w:textAlignment w:val="center"/>
              <w:rPr>
                <w:rFonts w:hint="eastAsia" w:ascii="楷体" w:hAnsi="楷体" w:eastAsia="楷体" w:cs="楷体"/>
                <w:i w:val="0"/>
                <w:color w:val="auto"/>
                <w:kern w:val="0"/>
                <w:sz w:val="21"/>
                <w:szCs w:val="21"/>
                <w:u w:val="none"/>
                <w:lang w:val="en-US" w:eastAsia="zh-CN" w:bidi="ar"/>
              </w:rPr>
            </w:pPr>
            <w:r>
              <w:rPr>
                <w:rFonts w:hint="eastAsia" w:ascii="楷体" w:hAnsi="楷体" w:eastAsia="楷体" w:cs="楷体"/>
                <w:i w:val="0"/>
                <w:color w:val="auto"/>
                <w:kern w:val="0"/>
                <w:sz w:val="21"/>
                <w:szCs w:val="21"/>
                <w:u w:val="none"/>
                <w:lang w:val="en-US" w:eastAsia="zh-CN" w:bidi="ar"/>
              </w:rPr>
              <w:t>客户赎回时若持有份额的净值增长率超过业绩比较基准上限，管理人将在赎回时对超过业绩比较基准上限的部分收取30%超额业绩报酬。</w:t>
            </w: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苏银理财恒源日申月持1号B滚续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J02655</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2.05%-2.95%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苏银理财恒源日申月持1号C滚续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J02656</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2.15%-3.05%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苏银理财恒源日申月持1号D滚续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J02657</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2.15%-3.05%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苏银理财恒源日申月持1号Q滚续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J03052</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2.15%-3.05%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苏银理财恒源日申月持1号（代发专享）滚续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J03425</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2.05%-2.95%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苏银理财恒源日申月持1号E滚续</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J03662</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2.25%-3.15%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苏银理财恒源日申月持1号（芙蓉锦程·优选）</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J03610</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1.70%-2.70%</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restart"/>
            <w:noWrap w:val="0"/>
            <w:tcMar>
              <w:top w:w="0" w:type="dxa"/>
              <w:left w:w="28" w:type="dxa"/>
              <w:bottom w:w="0" w:type="dxa"/>
              <w:right w:w="28" w:type="dxa"/>
            </w:tcMar>
            <w:vAlign w:val="center"/>
          </w:tcPr>
          <w:p>
            <w:pPr>
              <w:keepNext w:val="0"/>
              <w:keepLines w:val="0"/>
              <w:widowControl/>
              <w:suppressLineNumbers w:val="0"/>
              <w:jc w:val="both"/>
              <w:textAlignment w:val="center"/>
              <w:rPr>
                <w:rFonts w:hint="eastAsia" w:ascii="楷体" w:hAnsi="楷体" w:eastAsia="楷体" w:cs="楷体"/>
                <w:i w:val="0"/>
                <w:iCs w:val="0"/>
                <w:color w:val="auto"/>
                <w:kern w:val="0"/>
                <w:sz w:val="21"/>
                <w:szCs w:val="21"/>
                <w:u w:val="none"/>
                <w:lang w:val="en-US" w:eastAsia="zh-CN" w:bidi="ar"/>
              </w:rPr>
            </w:pPr>
            <w:r>
              <w:rPr>
                <w:rFonts w:hint="eastAsia" w:ascii="楷体" w:hAnsi="楷体" w:eastAsia="楷体" w:cs="楷体"/>
                <w:i w:val="0"/>
                <w:iCs w:val="0"/>
                <w:color w:val="auto"/>
                <w:kern w:val="0"/>
                <w:sz w:val="21"/>
                <w:szCs w:val="21"/>
                <w:u w:val="none"/>
                <w:lang w:val="en-US" w:eastAsia="zh-CN" w:bidi="ar"/>
              </w:rPr>
              <w:t>管理人按投资周期收取超额业绩报酬，若单一投资周期的产品实际投资收益在扣除托管费、销售服务费、投资管理费以及运作产品所必须缴纳的税费后超过业绩比较基准上限，产品管理人将按照超出部分的30%收取超额业绩报酬。</w:t>
            </w: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苏银理财恒源日申月持1号（北部湾银行专属）</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J03829</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1.70%-2.70%</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苏银理财恒源日申月持1号ZJ</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J07598</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1.95%-2.95%</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苏银理财恒源日申月持1号F</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J02095</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1.70%-2.70%</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restart"/>
            <w:noWrap w:val="0"/>
            <w:tcMar>
              <w:top w:w="0" w:type="dxa"/>
              <w:left w:w="28" w:type="dxa"/>
              <w:bottom w:w="0" w:type="dxa"/>
              <w:right w:w="28" w:type="dxa"/>
            </w:tcMar>
            <w:vAlign w:val="center"/>
          </w:tcPr>
          <w:p>
            <w:pPr>
              <w:keepNext w:val="0"/>
              <w:keepLines w:val="0"/>
              <w:widowControl/>
              <w:suppressLineNumbers w:val="0"/>
              <w:jc w:val="both"/>
              <w:textAlignment w:val="center"/>
              <w:rPr>
                <w:rFonts w:hint="eastAsia" w:ascii="楷体" w:hAnsi="楷体" w:eastAsia="楷体" w:cs="楷体"/>
                <w:i w:val="0"/>
                <w:iCs w:val="0"/>
                <w:color w:val="auto"/>
                <w:kern w:val="0"/>
                <w:sz w:val="21"/>
                <w:szCs w:val="21"/>
                <w:u w:val="none"/>
                <w:lang w:val="en-US" w:eastAsia="zh-CN" w:bidi="ar"/>
              </w:rPr>
            </w:pPr>
            <w:r>
              <w:rPr>
                <w:rFonts w:hint="eastAsia" w:ascii="楷体" w:hAnsi="楷体" w:eastAsia="楷体" w:cs="楷体"/>
                <w:i w:val="0"/>
                <w:iCs w:val="0"/>
                <w:color w:val="auto"/>
                <w:kern w:val="0"/>
                <w:sz w:val="21"/>
                <w:szCs w:val="21"/>
                <w:u w:val="none"/>
                <w:lang w:val="en-US" w:eastAsia="zh-CN" w:bidi="ar"/>
              </w:rPr>
              <w:t>客户赎回时若持有份额的净值增长率超过业绩比较基准上限，管理人将在赎回时对超过业绩比较基准上限的部分收取30%超额业绩报酬。</w:t>
            </w: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813"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苏银理财恒源日申月持1号G</w:t>
            </w:r>
          </w:p>
        </w:tc>
        <w:tc>
          <w:tcPr>
            <w:tcW w:w="414"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J03639</w:t>
            </w:r>
          </w:p>
        </w:tc>
        <w:tc>
          <w:tcPr>
            <w:tcW w:w="785" w:type="pct"/>
            <w:noWrap w:val="0"/>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1.80%-2.80%</w:t>
            </w:r>
          </w:p>
        </w:tc>
        <w:tc>
          <w:tcPr>
            <w:tcW w:w="787"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099"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c>
          <w:tcPr>
            <w:tcW w:w="1100" w:type="pct"/>
            <w:vMerge w:val="continue"/>
            <w:noWrap w:val="0"/>
            <w:tcMar>
              <w:top w:w="0" w:type="dxa"/>
              <w:left w:w="28" w:type="dxa"/>
              <w:bottom w:w="0" w:type="dxa"/>
              <w:right w:w="28" w:type="dxa"/>
            </w:tcMar>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1"/>
                <w:szCs w:val="21"/>
                <w:u w:val="none"/>
                <w:lang w:val="en-US" w:eastAsia="zh-CN" w:bidi="ar"/>
              </w:rPr>
            </w:pPr>
          </w:p>
        </w:tc>
      </w:tr>
    </w:tbl>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2026年2月12日及以后确认的份额适用调整后的业绩比较基准和超额业绩报酬；2026年2月12日前已确认的份额，适用确认时原有的业绩比较基准和超额业绩报酬。</w:t>
      </w:r>
      <w:bookmarkStart w:id="0" w:name="_GoBack"/>
      <w:bookmarkEnd w:id="0"/>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2" w:firstLineChars="200"/>
        <w:textAlignment w:val="auto"/>
        <w:outlineLvl w:val="9"/>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调整F份额说明书费用</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根据当前市场情况及产品投资运作情况，管理人自2026年2月12日起，拟对“苏银理财恒源日申月持1号F”理财产品的业说明书销售服务费进行调整。具体情况如下：</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1028"/>
        <w:gridCol w:w="2678"/>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295"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销售名称</w:t>
            </w:r>
          </w:p>
        </w:tc>
        <w:tc>
          <w:tcPr>
            <w:tcW w:w="596"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rPr>
            </w:pPr>
            <w:r>
              <w:rPr>
                <w:rFonts w:hint="eastAsia" w:ascii="楷体" w:hAnsi="楷体" w:eastAsia="楷体" w:cs="Times New Roman"/>
                <w:b/>
                <w:bCs/>
                <w:sz w:val="22"/>
                <w:szCs w:val="22"/>
              </w:rPr>
              <w:t>销售</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rPr>
              <w:t>代码</w:t>
            </w:r>
          </w:p>
        </w:tc>
        <w:tc>
          <w:tcPr>
            <w:tcW w:w="1553"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（调整前）</w:t>
            </w:r>
          </w:p>
        </w:tc>
        <w:tc>
          <w:tcPr>
            <w:tcW w:w="1554"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vertAlign w:val="baseline"/>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29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苏银理财恒源日申月持1号F</w:t>
            </w:r>
          </w:p>
        </w:tc>
        <w:tc>
          <w:tcPr>
            <w:tcW w:w="59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J02095</w:t>
            </w:r>
          </w:p>
        </w:tc>
        <w:tc>
          <w:tcPr>
            <w:tcW w:w="1553"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0.20%/年</w:t>
            </w:r>
          </w:p>
        </w:tc>
        <w:tc>
          <w:tcPr>
            <w:tcW w:w="1554"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r>
    </w:tbl>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特此</w:t>
      </w:r>
      <w:r>
        <w:rPr>
          <w:rFonts w:hint="eastAsia" w:ascii="楷体" w:hAnsi="楷体" w:eastAsia="楷体" w:cs="Times New Roman"/>
          <w:sz w:val="28"/>
          <w:szCs w:val="28"/>
          <w:lang w:val="en-US" w:eastAsia="zh-CN"/>
        </w:rPr>
        <w:t>公</w:t>
      </w:r>
      <w:r>
        <w:rPr>
          <w:rFonts w:hint="eastAsia" w:ascii="楷体" w:hAnsi="楷体" w:eastAsia="楷体" w:cs="Times New Roman"/>
          <w:sz w:val="28"/>
          <w:szCs w:val="28"/>
        </w:rPr>
        <w:t>告。</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keepNext w:val="0"/>
        <w:keepLines w:val="0"/>
        <w:pageBreakBefore w:val="0"/>
        <w:wordWrap/>
        <w:topLinePunct w:val="0"/>
        <w:autoSpaceDE/>
        <w:autoSpaceDN/>
        <w:bidi w:val="0"/>
        <w:snapToGrid/>
        <w:spacing w:line="520" w:lineRule="exact"/>
        <w:jc w:val="right"/>
        <w:textAlignment w:val="auto"/>
        <w:rPr>
          <w:rFonts w:hint="eastAsia" w:ascii="楷体" w:hAnsi="楷体" w:eastAsia="楷体"/>
          <w:kern w:val="0"/>
          <w:sz w:val="28"/>
          <w:szCs w:val="28"/>
        </w:rPr>
      </w:pPr>
      <w:r>
        <w:rPr>
          <w:rFonts w:hint="eastAsia" w:ascii="楷体" w:hAnsi="楷体" w:eastAsia="楷体"/>
          <w:kern w:val="0"/>
          <w:sz w:val="28"/>
          <w:szCs w:val="28"/>
        </w:rPr>
        <w:t>苏银理财有限责任公司</w:t>
      </w:r>
    </w:p>
    <w:p>
      <w:pPr>
        <w:keepNext w:val="0"/>
        <w:keepLines w:val="0"/>
        <w:pageBreakBefore w:val="0"/>
        <w:wordWrap/>
        <w:topLinePunct w:val="0"/>
        <w:autoSpaceDE/>
        <w:autoSpaceDN/>
        <w:bidi w:val="0"/>
        <w:snapToGrid/>
        <w:spacing w:line="520" w:lineRule="exact"/>
        <w:jc w:val="right"/>
        <w:textAlignment w:val="auto"/>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r>
        <w:rPr>
          <w:rFonts w:hint="eastAsia" w:ascii="楷体" w:hAnsi="楷体" w:eastAsia="楷体"/>
          <w:kern w:val="0"/>
          <w:sz w:val="28"/>
          <w:szCs w:val="28"/>
        </w:rPr>
        <w:t>月</w:t>
      </w:r>
      <w:r>
        <w:rPr>
          <w:rFonts w:hint="eastAsia" w:ascii="楷体" w:hAnsi="楷体" w:eastAsia="楷体"/>
          <w:kern w:val="0"/>
          <w:sz w:val="28"/>
          <w:szCs w:val="28"/>
          <w:lang w:val="en-US" w:eastAsia="zh-CN"/>
        </w:rPr>
        <w:t>5</w:t>
      </w:r>
      <w:r>
        <w:rPr>
          <w:rFonts w:hint="eastAsia" w:ascii="楷体" w:hAnsi="楷体" w:eastAsia="楷体"/>
          <w:kern w:val="0"/>
          <w:sz w:val="28"/>
          <w:szCs w:val="28"/>
        </w:rPr>
        <w:t>日</w:t>
      </w:r>
    </w:p>
    <w:p>
      <w:pPr>
        <w:keepNext w:val="0"/>
        <w:keepLines w:val="0"/>
        <w:pageBreakBefore w:val="0"/>
        <w:wordWrap/>
        <w:topLinePunct w:val="0"/>
        <w:autoSpaceDE/>
        <w:autoSpaceDN/>
        <w:bidi w:val="0"/>
        <w:snapToGrid/>
        <w:spacing w:line="520" w:lineRule="exact"/>
        <w:textAlignment w:val="auto"/>
        <w:rPr>
          <w:rFonts w:hint="eastAsia"/>
        </w:rPr>
      </w:pPr>
    </w:p>
    <w:p>
      <w:pPr>
        <w:keepNext w:val="0"/>
        <w:keepLines w:val="0"/>
        <w:pageBreakBefore w:val="0"/>
        <w:wordWrap/>
        <w:topLinePunct w:val="0"/>
        <w:autoSpaceDE/>
        <w:autoSpaceDN/>
        <w:bidi w:val="0"/>
        <w:snapToGrid/>
        <w:spacing w:line="520" w:lineRule="exact"/>
        <w:textAlignment w:val="auto"/>
        <w:rPr>
          <w:rFonts w:hint="eastAsia"/>
        </w:rPr>
      </w:pPr>
    </w:p>
    <w:p>
      <w:pPr>
        <w:keepNext w:val="0"/>
        <w:keepLines w:val="0"/>
        <w:pageBreakBefore w:val="0"/>
        <w:wordWrap/>
        <w:topLinePunct w:val="0"/>
        <w:autoSpaceDE/>
        <w:autoSpaceDN/>
        <w:bidi w:val="0"/>
        <w:snapToGrid/>
        <w:spacing w:line="520" w:lineRule="exact"/>
        <w:textAlignment w:val="auto"/>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keepNext w:val="0"/>
        <w:keepLines w:val="0"/>
        <w:pageBreakBefore w:val="0"/>
        <w:wordWrap/>
        <w:topLinePunct w:val="0"/>
        <w:autoSpaceDE/>
        <w:autoSpaceDN/>
        <w:bidi w:val="0"/>
        <w:snapToGrid/>
        <w:spacing w:line="520" w:lineRule="exact"/>
        <w:textAlignment w:val="auto"/>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87BA5"/>
    <w:multiLevelType w:val="singleLevel"/>
    <w:tmpl w:val="43187BA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03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AC21EF"/>
    <w:rsid w:val="039520FF"/>
    <w:rsid w:val="03F65983"/>
    <w:rsid w:val="04A037F0"/>
    <w:rsid w:val="05665582"/>
    <w:rsid w:val="05C24554"/>
    <w:rsid w:val="07731EDA"/>
    <w:rsid w:val="094044EA"/>
    <w:rsid w:val="099D0555"/>
    <w:rsid w:val="09C32C91"/>
    <w:rsid w:val="0A1B5FEF"/>
    <w:rsid w:val="0AAB1D35"/>
    <w:rsid w:val="0BA66D62"/>
    <w:rsid w:val="0BCB5EA3"/>
    <w:rsid w:val="0C075BCC"/>
    <w:rsid w:val="0C0E3597"/>
    <w:rsid w:val="0C931F95"/>
    <w:rsid w:val="0CAD1EB9"/>
    <w:rsid w:val="0D674401"/>
    <w:rsid w:val="0DAF4280"/>
    <w:rsid w:val="0E1C2D6A"/>
    <w:rsid w:val="0E1D42BF"/>
    <w:rsid w:val="0EEC0F7D"/>
    <w:rsid w:val="0EEE740C"/>
    <w:rsid w:val="0F2B39CE"/>
    <w:rsid w:val="10E55ACF"/>
    <w:rsid w:val="12BD4B3E"/>
    <w:rsid w:val="138663A9"/>
    <w:rsid w:val="143B0521"/>
    <w:rsid w:val="15083691"/>
    <w:rsid w:val="153B77D5"/>
    <w:rsid w:val="15CF287D"/>
    <w:rsid w:val="19645E12"/>
    <w:rsid w:val="19B70088"/>
    <w:rsid w:val="19FD06CD"/>
    <w:rsid w:val="1A4E3859"/>
    <w:rsid w:val="1A86500A"/>
    <w:rsid w:val="1AE0418B"/>
    <w:rsid w:val="1D1F41B0"/>
    <w:rsid w:val="204422FA"/>
    <w:rsid w:val="20A05C98"/>
    <w:rsid w:val="230E74F1"/>
    <w:rsid w:val="23A47824"/>
    <w:rsid w:val="26CB37BE"/>
    <w:rsid w:val="274E4D1E"/>
    <w:rsid w:val="27532641"/>
    <w:rsid w:val="29400AB9"/>
    <w:rsid w:val="2A3744FF"/>
    <w:rsid w:val="2AEE2D02"/>
    <w:rsid w:val="2B26546E"/>
    <w:rsid w:val="2C012D2A"/>
    <w:rsid w:val="2D866FA3"/>
    <w:rsid w:val="2EB879E5"/>
    <w:rsid w:val="2F1E6060"/>
    <w:rsid w:val="2FD10999"/>
    <w:rsid w:val="30374942"/>
    <w:rsid w:val="3085143A"/>
    <w:rsid w:val="322E7015"/>
    <w:rsid w:val="33564463"/>
    <w:rsid w:val="34622BDD"/>
    <w:rsid w:val="364A375A"/>
    <w:rsid w:val="39A04D1C"/>
    <w:rsid w:val="3A516C8C"/>
    <w:rsid w:val="3ABF7DB8"/>
    <w:rsid w:val="3C0D5E73"/>
    <w:rsid w:val="3C676CE6"/>
    <w:rsid w:val="3CBB230F"/>
    <w:rsid w:val="3D123447"/>
    <w:rsid w:val="3F096D2E"/>
    <w:rsid w:val="41F15D6D"/>
    <w:rsid w:val="42371119"/>
    <w:rsid w:val="426550F9"/>
    <w:rsid w:val="427416F1"/>
    <w:rsid w:val="43A33451"/>
    <w:rsid w:val="44422A0A"/>
    <w:rsid w:val="445A3E64"/>
    <w:rsid w:val="453D7759"/>
    <w:rsid w:val="45EB52C6"/>
    <w:rsid w:val="462B0EDE"/>
    <w:rsid w:val="482B6C56"/>
    <w:rsid w:val="49443B51"/>
    <w:rsid w:val="494729C5"/>
    <w:rsid w:val="4A867329"/>
    <w:rsid w:val="4B43165C"/>
    <w:rsid w:val="4CF367EF"/>
    <w:rsid w:val="4D9155AB"/>
    <w:rsid w:val="4DF83374"/>
    <w:rsid w:val="4F0048AD"/>
    <w:rsid w:val="4F40507F"/>
    <w:rsid w:val="4F587AFF"/>
    <w:rsid w:val="50B64FC6"/>
    <w:rsid w:val="527D382B"/>
    <w:rsid w:val="53D1760A"/>
    <w:rsid w:val="541E2DF9"/>
    <w:rsid w:val="55067C5E"/>
    <w:rsid w:val="55170CA3"/>
    <w:rsid w:val="554B526C"/>
    <w:rsid w:val="55B45C20"/>
    <w:rsid w:val="567F61D4"/>
    <w:rsid w:val="5BA87554"/>
    <w:rsid w:val="5C97125A"/>
    <w:rsid w:val="61823FF6"/>
    <w:rsid w:val="621B1E89"/>
    <w:rsid w:val="629B7BA9"/>
    <w:rsid w:val="63CD2A95"/>
    <w:rsid w:val="63DC5AE3"/>
    <w:rsid w:val="63F02CDE"/>
    <w:rsid w:val="64D01FCC"/>
    <w:rsid w:val="64FF4935"/>
    <w:rsid w:val="65866453"/>
    <w:rsid w:val="668B4989"/>
    <w:rsid w:val="669663D4"/>
    <w:rsid w:val="67372B5E"/>
    <w:rsid w:val="693E3352"/>
    <w:rsid w:val="69C04ABB"/>
    <w:rsid w:val="69CC397C"/>
    <w:rsid w:val="6A5A2C65"/>
    <w:rsid w:val="6ACE4D37"/>
    <w:rsid w:val="6B8241CB"/>
    <w:rsid w:val="6D297180"/>
    <w:rsid w:val="6DCD6373"/>
    <w:rsid w:val="6DD65823"/>
    <w:rsid w:val="6E0B6FB0"/>
    <w:rsid w:val="6E9762B3"/>
    <w:rsid w:val="6EBA5633"/>
    <w:rsid w:val="701C2D60"/>
    <w:rsid w:val="70A951B1"/>
    <w:rsid w:val="721674E4"/>
    <w:rsid w:val="72407585"/>
    <w:rsid w:val="72FD1467"/>
    <w:rsid w:val="735A5B70"/>
    <w:rsid w:val="7396760B"/>
    <w:rsid w:val="73BA1D06"/>
    <w:rsid w:val="74966354"/>
    <w:rsid w:val="759F2FBC"/>
    <w:rsid w:val="7643053B"/>
    <w:rsid w:val="772B255E"/>
    <w:rsid w:val="77667C2A"/>
    <w:rsid w:val="77EC7714"/>
    <w:rsid w:val="783D5AAA"/>
    <w:rsid w:val="78FC7A20"/>
    <w:rsid w:val="79276005"/>
    <w:rsid w:val="799E3A04"/>
    <w:rsid w:val="7A3D18A8"/>
    <w:rsid w:val="7A996452"/>
    <w:rsid w:val="7B0A6242"/>
    <w:rsid w:val="7B4D1255"/>
    <w:rsid w:val="7B7E1B28"/>
    <w:rsid w:val="7C306209"/>
    <w:rsid w:val="7C5E2341"/>
    <w:rsid w:val="7D5B5F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393</Words>
  <Characters>436</Characters>
  <Lines>2</Lines>
  <Paragraphs>1</Paragraphs>
  <TotalTime>0</TotalTime>
  <ScaleCrop>false</ScaleCrop>
  <LinksUpToDate>false</LinksUpToDate>
  <CharactersWithSpaces>436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jsyh</cp:lastModifiedBy>
  <cp:lastPrinted>2022-06-20T06:27:00Z</cp:lastPrinted>
  <dcterms:modified xsi:type="dcterms:W3CDTF">2026-02-05T07:55:32Z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561CAE7336EE4AE481743EA6D29CCF82</vt:lpwstr>
  </property>
</Properties>
</file>